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A5" w:rsidRDefault="00AA6BA5" w:rsidP="006544A6">
      <w:pPr>
        <w:tabs>
          <w:tab w:val="left" w:pos="720"/>
          <w:tab w:val="left" w:pos="6750"/>
        </w:tabs>
        <w:spacing w:after="0"/>
        <w:jc w:val="right"/>
        <w:rPr>
          <w:rFonts w:ascii="Times New Roman" w:hAnsi="Times New Roman" w:cs="Times New Roman"/>
          <w:lang w:val="sr-Cyrl-RS"/>
        </w:rPr>
      </w:pPr>
      <w:r w:rsidRPr="003309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НАЦРТ</w:t>
      </w:r>
    </w:p>
    <w:p w:rsidR="006544A6" w:rsidRPr="00A02722" w:rsidRDefault="006544A6" w:rsidP="006544A6">
      <w:pPr>
        <w:tabs>
          <w:tab w:val="left" w:pos="720"/>
          <w:tab w:val="left" w:pos="6750"/>
        </w:tabs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AA6BA5" w:rsidRPr="00330956" w:rsidRDefault="009E196E" w:rsidP="00AA6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32. </w:t>
      </w:r>
      <w:proofErr w:type="gramStart"/>
      <w:r w:rsidR="00AA6BA5" w:rsidRPr="00330956">
        <w:rPr>
          <w:rFonts w:ascii="Times New Roman" w:hAnsi="Times New Roman" w:cs="Times New Roman"/>
        </w:rPr>
        <w:t>став</w:t>
      </w:r>
      <w:proofErr w:type="gramEnd"/>
      <w:r w:rsidR="00AA6BA5" w:rsidRPr="00330956">
        <w:rPr>
          <w:rFonts w:ascii="Times New Roman" w:hAnsi="Times New Roman" w:cs="Times New Roman"/>
        </w:rPr>
        <w:t xml:space="preserve"> 1.тачка 3. Закона о локалној самоуправи („Службени гласник РС</w:t>
      </w:r>
      <w:proofErr w:type="gramStart"/>
      <w:r w:rsidR="00AA6BA5" w:rsidRPr="0033095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sr-Cyrl-RS"/>
        </w:rPr>
        <w:t xml:space="preserve"> </w:t>
      </w:r>
      <w:r w:rsidR="00AA6BA5" w:rsidRPr="00330956">
        <w:rPr>
          <w:rFonts w:ascii="Times New Roman" w:hAnsi="Times New Roman" w:cs="Times New Roman"/>
        </w:rPr>
        <w:t>бр</w:t>
      </w:r>
      <w:proofErr w:type="gramEnd"/>
      <w:r w:rsidR="00AA6BA5" w:rsidRPr="00330956">
        <w:rPr>
          <w:rFonts w:ascii="Times New Roman" w:hAnsi="Times New Roman" w:cs="Times New Roman"/>
        </w:rPr>
        <w:t>. 129/2007</w:t>
      </w:r>
      <w:r w:rsidR="00AA6BA5">
        <w:rPr>
          <w:rFonts w:ascii="Times New Roman" w:hAnsi="Times New Roman" w:cs="Times New Roman"/>
          <w:lang w:val="sr-Cyrl-RS"/>
        </w:rPr>
        <w:t>,</w:t>
      </w:r>
      <w:r w:rsidR="00AA6BA5" w:rsidRPr="00AA6BA5">
        <w:t xml:space="preserve"> </w:t>
      </w:r>
      <w:r w:rsidR="00AA6BA5" w:rsidRPr="00AA6BA5">
        <w:rPr>
          <w:rFonts w:ascii="Times New Roman" w:hAnsi="Times New Roman" w:cs="Times New Roman"/>
        </w:rPr>
        <w:t>83/2014-др.закон, 101/2016-др.закон и 47/2018</w:t>
      </w:r>
      <w:r w:rsidR="00AA6BA5" w:rsidRPr="00330956">
        <w:rPr>
          <w:rFonts w:ascii="Times New Roman" w:hAnsi="Times New Roman" w:cs="Times New Roman"/>
        </w:rPr>
        <w:t xml:space="preserve">), члана 7, 11, </w:t>
      </w:r>
      <w:r w:rsidR="00AA6BA5">
        <w:rPr>
          <w:rFonts w:ascii="Times New Roman" w:hAnsi="Times New Roman" w:cs="Times New Roman"/>
          <w:lang w:val="sr-Cyrl-RS"/>
        </w:rPr>
        <w:t xml:space="preserve"> </w:t>
      </w:r>
      <w:r w:rsidR="00AA6BA5" w:rsidRPr="00330956">
        <w:rPr>
          <w:rFonts w:ascii="Times New Roman" w:hAnsi="Times New Roman" w:cs="Times New Roman"/>
        </w:rPr>
        <w:t>и 18. Закона о финансирању локалне самоуправе ("</w:t>
      </w:r>
      <w:r w:rsidR="00AA6BA5">
        <w:rPr>
          <w:rFonts w:ascii="Times New Roman" w:hAnsi="Times New Roman" w:cs="Times New Roman"/>
        </w:rPr>
        <w:t>Сл</w:t>
      </w:r>
      <w:r w:rsidR="00AA6BA5" w:rsidRPr="00330956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</w:rPr>
        <w:t>гласник</w:t>
      </w:r>
      <w:r w:rsidR="00AA6BA5" w:rsidRPr="00330956">
        <w:rPr>
          <w:rFonts w:ascii="Times New Roman" w:hAnsi="Times New Roman" w:cs="Times New Roman"/>
        </w:rPr>
        <w:t xml:space="preserve"> </w:t>
      </w:r>
      <w:r w:rsidR="00AA6BA5">
        <w:rPr>
          <w:rFonts w:ascii="Times New Roman" w:hAnsi="Times New Roman" w:cs="Times New Roman"/>
        </w:rPr>
        <w:t>РС</w:t>
      </w:r>
      <w:r w:rsidR="00AA6BA5" w:rsidRPr="00330956">
        <w:rPr>
          <w:rFonts w:ascii="Times New Roman" w:hAnsi="Times New Roman" w:cs="Times New Roman"/>
        </w:rPr>
        <w:t xml:space="preserve">", </w:t>
      </w:r>
      <w:r w:rsidR="00AA6BA5">
        <w:rPr>
          <w:rFonts w:ascii="Times New Roman" w:hAnsi="Times New Roman" w:cs="Times New Roman"/>
        </w:rPr>
        <w:t>бр</w:t>
      </w:r>
      <w:r w:rsidR="00AA6BA5" w:rsidRPr="00330956">
        <w:rPr>
          <w:rFonts w:ascii="Times New Roman" w:hAnsi="Times New Roman" w:cs="Times New Roman"/>
        </w:rPr>
        <w:t xml:space="preserve">. 62/2006, 47/2011, 93/2012, 99/2013 - </w:t>
      </w:r>
      <w:r w:rsidR="00AA6BA5">
        <w:rPr>
          <w:rFonts w:ascii="Times New Roman" w:hAnsi="Times New Roman" w:cs="Times New Roman"/>
        </w:rPr>
        <w:t>усклађени</w:t>
      </w:r>
      <w:r w:rsidR="00AA6BA5" w:rsidRPr="00330956">
        <w:rPr>
          <w:rFonts w:ascii="Times New Roman" w:hAnsi="Times New Roman" w:cs="Times New Roman"/>
        </w:rPr>
        <w:t xml:space="preserve"> </w:t>
      </w:r>
      <w:r w:rsidR="00AA6BA5">
        <w:rPr>
          <w:rFonts w:ascii="Times New Roman" w:hAnsi="Times New Roman" w:cs="Times New Roman"/>
        </w:rPr>
        <w:t>дин</w:t>
      </w:r>
      <w:r w:rsidR="00AA6BA5" w:rsidRPr="0033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proofErr w:type="gramStart"/>
      <w:r w:rsidR="00AA6BA5">
        <w:rPr>
          <w:rFonts w:ascii="Times New Roman" w:hAnsi="Times New Roman" w:cs="Times New Roman"/>
        </w:rPr>
        <w:t>изн</w:t>
      </w:r>
      <w:r w:rsidR="00AA6BA5" w:rsidRPr="00330956">
        <w:rPr>
          <w:rFonts w:ascii="Times New Roman" w:hAnsi="Times New Roman" w:cs="Times New Roman"/>
        </w:rPr>
        <w:t>.,</w:t>
      </w:r>
      <w:proofErr w:type="gramEnd"/>
      <w:r w:rsidR="00AA6BA5" w:rsidRPr="00330956">
        <w:rPr>
          <w:rFonts w:ascii="Times New Roman" w:hAnsi="Times New Roman" w:cs="Times New Roman"/>
        </w:rPr>
        <w:t xml:space="preserve"> 125/2014 - </w:t>
      </w:r>
      <w:r w:rsidR="00AA6BA5">
        <w:rPr>
          <w:rFonts w:ascii="Times New Roman" w:hAnsi="Times New Roman" w:cs="Times New Roman"/>
        </w:rPr>
        <w:t>усклађени</w:t>
      </w:r>
      <w:r w:rsidR="00AA6BA5" w:rsidRPr="00330956">
        <w:rPr>
          <w:rFonts w:ascii="Times New Roman" w:hAnsi="Times New Roman" w:cs="Times New Roman"/>
        </w:rPr>
        <w:t xml:space="preserve"> </w:t>
      </w:r>
      <w:r w:rsidR="00AA6BA5">
        <w:rPr>
          <w:rFonts w:ascii="Times New Roman" w:hAnsi="Times New Roman" w:cs="Times New Roman"/>
        </w:rPr>
        <w:t>дин</w:t>
      </w:r>
      <w:r w:rsidR="00AA6BA5" w:rsidRPr="00330956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</w:rPr>
        <w:t>изн</w:t>
      </w:r>
      <w:r w:rsidR="00AA6BA5" w:rsidRPr="00330956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</w:rPr>
        <w:t>и</w:t>
      </w:r>
      <w:r w:rsidR="00AA6BA5" w:rsidRPr="00330956">
        <w:rPr>
          <w:rFonts w:ascii="Times New Roman" w:hAnsi="Times New Roman" w:cs="Times New Roman"/>
        </w:rPr>
        <w:t xml:space="preserve"> 95/2015 - </w:t>
      </w:r>
      <w:r w:rsidR="00AA6BA5">
        <w:rPr>
          <w:rFonts w:ascii="Times New Roman" w:hAnsi="Times New Roman" w:cs="Times New Roman"/>
        </w:rPr>
        <w:t>усклађени</w:t>
      </w:r>
      <w:r w:rsidR="00AA6BA5" w:rsidRPr="00330956">
        <w:rPr>
          <w:rFonts w:ascii="Times New Roman" w:hAnsi="Times New Roman" w:cs="Times New Roman"/>
        </w:rPr>
        <w:t xml:space="preserve"> </w:t>
      </w:r>
      <w:r w:rsidR="00AA6BA5">
        <w:rPr>
          <w:rFonts w:ascii="Times New Roman" w:hAnsi="Times New Roman" w:cs="Times New Roman"/>
        </w:rPr>
        <w:t>дин</w:t>
      </w:r>
      <w:r w:rsidR="00AA6BA5" w:rsidRPr="00330956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</w:rPr>
        <w:t>изн</w:t>
      </w:r>
      <w:r w:rsidR="00AA6BA5" w:rsidRPr="00330956">
        <w:rPr>
          <w:rFonts w:ascii="Times New Roman" w:hAnsi="Times New Roman" w:cs="Times New Roman"/>
        </w:rPr>
        <w:t>.</w:t>
      </w:r>
      <w:r w:rsidR="00AA6BA5">
        <w:rPr>
          <w:rFonts w:ascii="Times New Roman" w:hAnsi="Times New Roman" w:cs="Times New Roman"/>
        </w:rPr>
        <w:t xml:space="preserve"> 104/2016 - </w:t>
      </w:r>
      <w:r w:rsidR="00AA6BA5" w:rsidRPr="00BA0E8E">
        <w:rPr>
          <w:rFonts w:ascii="Times New Roman" w:hAnsi="Times New Roman" w:cs="Times New Roman"/>
        </w:rPr>
        <w:t>усклађени дин. изн.</w:t>
      </w:r>
      <w:r w:rsidR="00AA6BA5">
        <w:rPr>
          <w:rFonts w:ascii="Times New Roman" w:hAnsi="Times New Roman" w:cs="Times New Roman"/>
        </w:rPr>
        <w:t xml:space="preserve"> </w:t>
      </w:r>
      <w:r w:rsidR="00AA6BA5">
        <w:rPr>
          <w:rFonts w:ascii="Times New Roman" w:hAnsi="Times New Roman" w:cs="Times New Roman"/>
          <w:lang w:val="sr-Cyrl-RS"/>
        </w:rPr>
        <w:t xml:space="preserve"> </w:t>
      </w:r>
      <w:r w:rsidR="00AA6BA5">
        <w:rPr>
          <w:rFonts w:ascii="Times New Roman" w:hAnsi="Times New Roman" w:cs="Times New Roman"/>
        </w:rPr>
        <w:t xml:space="preserve"> 96/2017</w:t>
      </w:r>
      <w:r w:rsidR="00AA6BA5" w:rsidRPr="00BA0E8E">
        <w:rPr>
          <w:rFonts w:ascii="Times New Roman" w:hAnsi="Times New Roman" w:cs="Times New Roman"/>
        </w:rPr>
        <w:t>- усклађени дин.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AA6BA5" w:rsidRPr="00BA0E8E">
        <w:rPr>
          <w:rFonts w:ascii="Times New Roman" w:hAnsi="Times New Roman" w:cs="Times New Roman"/>
        </w:rPr>
        <w:t>изн</w:t>
      </w:r>
      <w:proofErr w:type="gramEnd"/>
      <w:r w:rsidR="00AA6BA5">
        <w:rPr>
          <w:rFonts w:ascii="Times New Roman" w:hAnsi="Times New Roman" w:cs="Times New Roman"/>
        </w:rPr>
        <w:t xml:space="preserve">. </w:t>
      </w:r>
      <w:r w:rsidR="00AA6BA5" w:rsidRPr="00AA6BA5">
        <w:rPr>
          <w:rFonts w:ascii="Times New Roman" w:hAnsi="Times New Roman" w:cs="Times New Roman"/>
        </w:rPr>
        <w:t>89/2018 - усклађени дин.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AA6BA5" w:rsidRPr="00AA6BA5">
        <w:rPr>
          <w:rFonts w:ascii="Times New Roman" w:hAnsi="Times New Roman" w:cs="Times New Roman"/>
        </w:rPr>
        <w:t>изн</w:t>
      </w:r>
      <w:proofErr w:type="gramEnd"/>
      <w:r w:rsidR="00AA6BA5" w:rsidRPr="00AA6BA5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  <w:lang w:val="sr-Cyrl-RS"/>
        </w:rPr>
        <w:t>и</w:t>
      </w:r>
      <w:r w:rsidR="00AA6BA5" w:rsidRPr="00AA6BA5">
        <w:rPr>
          <w:rFonts w:ascii="Times New Roman" w:hAnsi="Times New Roman" w:cs="Times New Roman"/>
        </w:rPr>
        <w:t xml:space="preserve">  95/2018 - </w:t>
      </w:r>
      <w:r w:rsidR="00AA6BA5">
        <w:rPr>
          <w:rFonts w:ascii="Times New Roman" w:hAnsi="Times New Roman" w:cs="Times New Roman"/>
          <w:lang w:val="sr-Cyrl-RS"/>
        </w:rPr>
        <w:t>др</w:t>
      </w:r>
      <w:r w:rsidR="00AA6BA5" w:rsidRPr="00AA6BA5">
        <w:rPr>
          <w:rFonts w:ascii="Times New Roman" w:hAnsi="Times New Roman" w:cs="Times New Roman"/>
        </w:rPr>
        <w:t xml:space="preserve">. </w:t>
      </w:r>
      <w:r w:rsidR="00AA6BA5">
        <w:rPr>
          <w:rFonts w:ascii="Times New Roman" w:hAnsi="Times New Roman" w:cs="Times New Roman"/>
          <w:lang w:val="sr-Cyrl-RS"/>
        </w:rPr>
        <w:t>закон</w:t>
      </w:r>
      <w:r w:rsidR="00AA6BA5" w:rsidRPr="00AA6BA5">
        <w:rPr>
          <w:rFonts w:ascii="Times New Roman" w:hAnsi="Times New Roman" w:cs="Times New Roman"/>
        </w:rPr>
        <w:t>)</w:t>
      </w:r>
      <w:r w:rsidR="00AA6BA5" w:rsidRPr="00330956">
        <w:rPr>
          <w:rFonts w:ascii="Times New Roman" w:hAnsi="Times New Roman" w:cs="Times New Roman"/>
        </w:rPr>
        <w:t xml:space="preserve">) и члана </w:t>
      </w:r>
      <w:r w:rsidR="00AA6BA5" w:rsidRPr="00AA6BA5"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AA6BA5" w:rsidRPr="00AA6BA5">
        <w:rPr>
          <w:rFonts w:ascii="Times New Roman" w:hAnsi="Times New Roman" w:cs="Times New Roman"/>
        </w:rPr>
        <w:t>став</w:t>
      </w:r>
      <w:proofErr w:type="gramEnd"/>
      <w:r w:rsidR="00AA6BA5" w:rsidRPr="00AA6BA5">
        <w:rPr>
          <w:rFonts w:ascii="Times New Roman" w:hAnsi="Times New Roman" w:cs="Times New Roman"/>
        </w:rPr>
        <w:t xml:space="preserve"> 1. </w:t>
      </w:r>
      <w:proofErr w:type="gramStart"/>
      <w:r w:rsidR="00AA6BA5" w:rsidRPr="00AA6BA5">
        <w:rPr>
          <w:rFonts w:ascii="Times New Roman" w:hAnsi="Times New Roman" w:cs="Times New Roman"/>
        </w:rPr>
        <w:t>тачка</w:t>
      </w:r>
      <w:proofErr w:type="gramEnd"/>
      <w:r w:rsidR="00AA6BA5" w:rsidRPr="00AA6BA5">
        <w:rPr>
          <w:rFonts w:ascii="Times New Roman" w:hAnsi="Times New Roman" w:cs="Times New Roman"/>
        </w:rPr>
        <w:t xml:space="preserve"> </w:t>
      </w:r>
      <w:r w:rsidR="00D91C2B">
        <w:rPr>
          <w:rFonts w:ascii="Times New Roman" w:hAnsi="Times New Roman" w:cs="Times New Roman"/>
        </w:rPr>
        <w:t>3</w:t>
      </w:r>
      <w:r w:rsidR="00AA6BA5" w:rsidRPr="00AA6BA5">
        <w:rPr>
          <w:rFonts w:ascii="Times New Roman" w:hAnsi="Times New Roman" w:cs="Times New Roman"/>
        </w:rPr>
        <w:t>. Статута општине Оџаци („Службени лист општине Оџаци</w:t>
      </w:r>
      <w:proofErr w:type="gramStart"/>
      <w:r w:rsidR="00AA6BA5" w:rsidRPr="00AA6BA5">
        <w:rPr>
          <w:rFonts w:ascii="Times New Roman" w:hAnsi="Times New Roman" w:cs="Times New Roman"/>
        </w:rPr>
        <w:t>“ бр</w:t>
      </w:r>
      <w:proofErr w:type="gramEnd"/>
      <w:r w:rsidR="00AA6BA5" w:rsidRPr="00AA6BA5">
        <w:rPr>
          <w:rFonts w:ascii="Times New Roman" w:hAnsi="Times New Roman" w:cs="Times New Roman"/>
        </w:rPr>
        <w:t xml:space="preserve">. 2/2019), </w:t>
      </w:r>
      <w:r w:rsidR="00AA6BA5" w:rsidRPr="00330956">
        <w:rPr>
          <w:rFonts w:ascii="Times New Roman" w:hAnsi="Times New Roman" w:cs="Times New Roman"/>
        </w:rPr>
        <w:t xml:space="preserve">Скупштина општине Оџаци, на  </w:t>
      </w:r>
      <w:r w:rsidR="00AA6BA5">
        <w:rPr>
          <w:rFonts w:ascii="Times New Roman" w:hAnsi="Times New Roman" w:cs="Times New Roman"/>
          <w:lang w:val="sr-Cyrl-RS"/>
        </w:rPr>
        <w:t>_____</w:t>
      </w:r>
      <w:r w:rsidR="00AA6BA5" w:rsidRPr="00330956">
        <w:rPr>
          <w:rFonts w:ascii="Times New Roman" w:hAnsi="Times New Roman" w:cs="Times New Roman"/>
        </w:rPr>
        <w:t xml:space="preserve">.седници одржаној дана </w:t>
      </w:r>
      <w:r w:rsidR="00AA6BA5">
        <w:rPr>
          <w:rFonts w:ascii="Times New Roman" w:hAnsi="Times New Roman" w:cs="Times New Roman"/>
          <w:lang w:val="sr-Cyrl-RS"/>
        </w:rPr>
        <w:t>___</w:t>
      </w:r>
      <w:r w:rsidR="00AA6BA5" w:rsidRPr="00330956">
        <w:rPr>
          <w:rFonts w:ascii="Times New Roman" w:hAnsi="Times New Roman" w:cs="Times New Roman"/>
        </w:rPr>
        <w:t>.12.201</w:t>
      </w:r>
      <w:r w:rsidR="00AA6BA5">
        <w:rPr>
          <w:rFonts w:ascii="Times New Roman" w:hAnsi="Times New Roman" w:cs="Times New Roman"/>
          <w:lang w:val="sr-Cyrl-RS"/>
        </w:rPr>
        <w:t>9</w:t>
      </w:r>
      <w:r w:rsidR="00AA6BA5" w:rsidRPr="00330956">
        <w:rPr>
          <w:rFonts w:ascii="Times New Roman" w:hAnsi="Times New Roman" w:cs="Times New Roman"/>
        </w:rPr>
        <w:t xml:space="preserve">.године, донела је 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ОДЛУКУ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О ЛОКАЛНИМ КОМУНАЛНИМ ТАКСАМА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Овом Одлуком уводе се локалне комуналне таксе на територији општине Оџаци и утврђују се обвезници, висина, олакшице, рокови и начин плаћања.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2.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Обвезник локалне комуналне таксе јесте корисник права, предмета и услуга за чије је коришћење законом и овом одлуком прописано плаћање таксе по Тарифи која је саставни део ове Одлуке.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3.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Таксена обавеза настаје даном почетка коришћења права, предмета и услуга, за чије је коришћење прописано плаћање локалне комуналне таксе и траје док траје коришћење права, предмета и услуга.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4.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Локална комунална такса се утврђује у различитој висини зависно од врсте делатности обвезника,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56D0B">
        <w:rPr>
          <w:rFonts w:ascii="Times New Roman" w:hAnsi="Times New Roman" w:cs="Times New Roman"/>
          <w:lang w:val="sr-Cyrl-RS"/>
        </w:rPr>
        <w:t>величине правног лица у смислу закона којим се уређује рачуноводство</w:t>
      </w:r>
      <w:r w:rsidRPr="00330956">
        <w:rPr>
          <w:rFonts w:ascii="Times New Roman" w:hAnsi="Times New Roman" w:cs="Times New Roman"/>
        </w:rPr>
        <w:t xml:space="preserve">. 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5.</w:t>
      </w:r>
    </w:p>
    <w:p w:rsidR="00AA6BA5" w:rsidRPr="00330956" w:rsidRDefault="00AA6BA5" w:rsidP="003F187F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</w:r>
      <w:r w:rsidR="007331E5" w:rsidRPr="007331E5">
        <w:rPr>
          <w:rFonts w:ascii="Times New Roman" w:hAnsi="Times New Roman" w:cs="Times New Roman"/>
        </w:rPr>
        <w:t xml:space="preserve">Локална комунална такса се утврђује у различитој висини зависно од врсте делатности обвезника, </w:t>
      </w:r>
      <w:r w:rsidR="007331E5">
        <w:rPr>
          <w:rFonts w:ascii="Times New Roman" w:hAnsi="Times New Roman" w:cs="Times New Roman"/>
          <w:lang w:val="sr-Cyrl-RS"/>
        </w:rPr>
        <w:t xml:space="preserve">врсте делатности, </w:t>
      </w:r>
      <w:r w:rsidR="007331E5" w:rsidRPr="007331E5">
        <w:rPr>
          <w:rFonts w:ascii="Times New Roman" w:hAnsi="Times New Roman" w:cs="Times New Roman"/>
        </w:rPr>
        <w:t>површине и техничко - употребних карактеристика објеката</w:t>
      </w:r>
      <w:r w:rsidR="007331E5">
        <w:rPr>
          <w:rFonts w:ascii="Times New Roman" w:hAnsi="Times New Roman" w:cs="Times New Roman"/>
          <w:lang w:val="sr-Cyrl-RS"/>
        </w:rPr>
        <w:t>,</w:t>
      </w:r>
      <w:r w:rsidR="007331E5" w:rsidRPr="007331E5">
        <w:rPr>
          <w:rFonts w:ascii="Times New Roman" w:hAnsi="Times New Roman" w:cs="Times New Roman"/>
        </w:rPr>
        <w:t xml:space="preserve"> величине правног лица у смислу закона којим се уређује рачуноводство, и по деловима територије, односно у зонама, дефинисаним Одлуком о утврђивању елемената пореза на имовину за територију општине Оџаци, у којима се налазе објекти, предмети или врше услуге за које се плаћа такса.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6.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 xml:space="preserve">Локане комуналне таксе уводе се за: 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1.</w:t>
      </w:r>
      <w:r>
        <w:rPr>
          <w:rFonts w:ascii="Times New Roman" w:hAnsi="Times New Roman" w:cs="Times New Roman"/>
          <w:lang w:val="sr-Cyrl-RS"/>
        </w:rPr>
        <w:tab/>
      </w:r>
      <w:r w:rsidRPr="00330956">
        <w:rPr>
          <w:rFonts w:ascii="Times New Roman" w:hAnsi="Times New Roman" w:cs="Times New Roman"/>
        </w:rPr>
        <w:t>Истицање фирме на пословном простору;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2</w:t>
      </w:r>
      <w:r w:rsidRPr="00330956">
        <w:rPr>
          <w:rFonts w:ascii="Times New Roman" w:hAnsi="Times New Roman" w:cs="Times New Roman"/>
        </w:rPr>
        <w:t>.</w:t>
      </w:r>
      <w:r w:rsidRPr="00330956">
        <w:rPr>
          <w:rFonts w:ascii="Times New Roman" w:hAnsi="Times New Roman" w:cs="Times New Roman"/>
        </w:rPr>
        <w:tab/>
        <w:t>Држање моторних, друмских и прикључних возила осим пољопривредних возила и машина;</w:t>
      </w:r>
    </w:p>
    <w:p w:rsidR="00AA6BA5" w:rsidRPr="00330956" w:rsidRDefault="003F187F" w:rsidP="00AA6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3</w:t>
      </w:r>
      <w:r w:rsidR="00AA6BA5" w:rsidRPr="00330956">
        <w:rPr>
          <w:rFonts w:ascii="Times New Roman" w:hAnsi="Times New Roman" w:cs="Times New Roman"/>
        </w:rPr>
        <w:t>.</w:t>
      </w:r>
      <w:r w:rsidR="00AA6BA5" w:rsidRPr="00330956">
        <w:rPr>
          <w:rFonts w:ascii="Times New Roman" w:hAnsi="Times New Roman" w:cs="Times New Roman"/>
        </w:rPr>
        <w:tab/>
        <w:t>Држање средстава за игру („забавне игре“);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7.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Фирма у смислу ове одлуке,</w:t>
      </w:r>
      <w:r w:rsidR="009E196E">
        <w:rPr>
          <w:rFonts w:ascii="Times New Roman" w:hAnsi="Times New Roman" w:cs="Times New Roman"/>
          <w:lang w:val="sr-Cyrl-RS"/>
        </w:rPr>
        <w:t xml:space="preserve"> </w:t>
      </w:r>
      <w:r w:rsidRPr="00330956">
        <w:rPr>
          <w:rFonts w:ascii="Times New Roman" w:hAnsi="Times New Roman" w:cs="Times New Roman"/>
        </w:rPr>
        <w:t>јесте сваки истакнути назив или име које упућује на то да правно или физичко лице обавља одређену делатност.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Ако се на једном пословном објекту налази више истакнутих фирми истог обвезника такса се плаћа само за једну фирму.</w:t>
      </w:r>
    </w:p>
    <w:p w:rsidR="00AA6BA5" w:rsidRPr="00330956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За сваку фирму истакнуту ван пословног објекта плаћа се такса за сваку истакнуту фирму. </w:t>
      </w:r>
    </w:p>
    <w:p w:rsidR="00AA6BA5" w:rsidRPr="00D62A3C" w:rsidRDefault="00AA6BA5" w:rsidP="00AA6BA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330956">
        <w:rPr>
          <w:rFonts w:ascii="Times New Roman" w:hAnsi="Times New Roman" w:cs="Times New Roman"/>
        </w:rPr>
        <w:t>Члан 8</w:t>
      </w:r>
      <w:r>
        <w:rPr>
          <w:rFonts w:ascii="Times New Roman" w:hAnsi="Times New Roman" w:cs="Times New Roman"/>
          <w:lang w:val="sr-Cyrl-RS"/>
        </w:rPr>
        <w:t>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Локалне комуналне такс</w:t>
      </w:r>
      <w:r w:rsidR="006544A6">
        <w:rPr>
          <w:rFonts w:ascii="Times New Roman" w:hAnsi="Times New Roman" w:cs="Times New Roman"/>
        </w:rPr>
        <w:t xml:space="preserve">е се утврђују у годишњем износу, </w:t>
      </w:r>
      <w:r w:rsidRPr="00330956">
        <w:rPr>
          <w:rFonts w:ascii="Times New Roman" w:hAnsi="Times New Roman" w:cs="Times New Roman"/>
        </w:rPr>
        <w:t xml:space="preserve">односно сразмерно </w:t>
      </w:r>
      <w:r w:rsidR="006544A6">
        <w:rPr>
          <w:rFonts w:ascii="Times New Roman" w:hAnsi="Times New Roman" w:cs="Times New Roman"/>
          <w:lang w:val="sr-Cyrl-RS"/>
        </w:rPr>
        <w:t>времену</w:t>
      </w:r>
      <w:r w:rsidRPr="00330956">
        <w:rPr>
          <w:rFonts w:ascii="Times New Roman" w:hAnsi="Times New Roman" w:cs="Times New Roman"/>
        </w:rPr>
        <w:t xml:space="preserve"> коришћења права, предмета и услуга.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lastRenderedPageBreak/>
        <w:tab/>
        <w:t>До доношења решења надлежног органа обвезник таксе је дужан да у наредној години плаћа аконтацију таксе у висини обавезе утврђене за месец децембар претходне године.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330956">
        <w:rPr>
          <w:rFonts w:ascii="Times New Roman" w:hAnsi="Times New Roman" w:cs="Times New Roman"/>
        </w:rPr>
        <w:t xml:space="preserve">  Утврђени износи из тарифе локалне комуналне таксе усклађују се годишње, са годишњим индексом потрошачких цена, који објављује републички орган надлежан за послове статистике.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9.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Обвезник локалне комуналне таксе која се наплаћује у годишњем износу дужан је да поднесе пријаву за утврђивање обавезе по основу локалне комуналне таксе надлежном органу у року од 15 дана од дана почетка коришћења права, предмета и услуга за које је уведена такса.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Обвезник локалне комуналне таксе дужан је да сваку насталу промену пријави надлежном органу у року од 15 дана од дана настале промене.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 xml:space="preserve">У случају да обвезник не поднесе пријаву у року утврђеном у ставу 1. </w:t>
      </w:r>
      <w:proofErr w:type="gramStart"/>
      <w:r w:rsidRPr="00330956">
        <w:rPr>
          <w:rFonts w:ascii="Times New Roman" w:hAnsi="Times New Roman" w:cs="Times New Roman"/>
        </w:rPr>
        <w:t>овог</w:t>
      </w:r>
      <w:proofErr w:type="gramEnd"/>
      <w:r w:rsidRPr="00330956">
        <w:rPr>
          <w:rFonts w:ascii="Times New Roman" w:hAnsi="Times New Roman" w:cs="Times New Roman"/>
        </w:rPr>
        <w:t xml:space="preserve"> члана, надлежни орган ће донети Решење на основу података надлежног органа који врше упис у регистар и на основу службених података којима располаже општинска управа</w:t>
      </w:r>
      <w:r w:rsidR="007331E5">
        <w:rPr>
          <w:rFonts w:ascii="Times New Roman" w:hAnsi="Times New Roman" w:cs="Times New Roman"/>
          <w:lang w:val="sr-Cyrl-RS"/>
        </w:rPr>
        <w:t xml:space="preserve"> или други </w:t>
      </w:r>
      <w:r w:rsidRPr="00330956">
        <w:rPr>
          <w:rFonts w:ascii="Times New Roman" w:hAnsi="Times New Roman" w:cs="Times New Roman"/>
        </w:rPr>
        <w:t>државни орган</w:t>
      </w:r>
      <w:r w:rsidR="007331E5">
        <w:rPr>
          <w:rFonts w:ascii="Times New Roman" w:hAnsi="Times New Roman" w:cs="Times New Roman"/>
          <w:lang w:val="sr-Cyrl-RS"/>
        </w:rPr>
        <w:t>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10.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У погледу начина утврђивања локалне комуналне таксе, обрачунавања, наплате, рокова за плаћање, обрачуна камате, застарелости и других питања, примењују се одредбе Закона о пореском поступку и пореској администрацији.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За све што није посебно регулисано овом Одлуком примењиваће се одредбе Закона о финансирању локалне самоуправе.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11.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Државни органи и организације, органи и организације територијалне аутономије и јединице локалне самоуправе ослобођени су плаћања локалних комуналних такси за коришћење права, предмета и услуга.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12.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         Утврђивање и наплату локалне комуналне таксе врши Општинска управа - Оде</w:t>
      </w:r>
      <w:r>
        <w:rPr>
          <w:rFonts w:ascii="Times New Roman" w:hAnsi="Times New Roman" w:cs="Times New Roman"/>
          <w:lang w:val="sr-Cyrl-RS"/>
        </w:rPr>
        <w:t>љ</w:t>
      </w:r>
      <w:r w:rsidRPr="00330956">
        <w:rPr>
          <w:rFonts w:ascii="Times New Roman" w:hAnsi="Times New Roman" w:cs="Times New Roman"/>
        </w:rPr>
        <w:t xml:space="preserve">ење </w:t>
      </w:r>
      <w:r w:rsidR="00C75839">
        <w:rPr>
          <w:rFonts w:ascii="Times New Roman" w:hAnsi="Times New Roman" w:cs="Times New Roman"/>
          <w:lang w:val="sr-Cyrl-RS"/>
        </w:rPr>
        <w:t>за финансије и јавне приходе</w:t>
      </w:r>
      <w:r w:rsidRPr="00330956">
        <w:rPr>
          <w:rFonts w:ascii="Times New Roman" w:hAnsi="Times New Roman" w:cs="Times New Roman"/>
        </w:rPr>
        <w:t>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         Утврђивање и наплату комуналне таксе за држање моторних, друмских и прикључних возила, осим пољопривредних возила и машина, врши Министарство унутрашњих послова- Полицијска станица Оџаци, приликом регистрације возила.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13.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Утврђује се Тарифа локалних комуналних такси за коришћење појединих права, предмета и услуга.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DA310F" w:rsidRDefault="00AA6BA5" w:rsidP="00AA6BA5">
      <w:pPr>
        <w:spacing w:after="0"/>
        <w:jc w:val="center"/>
        <w:rPr>
          <w:rFonts w:ascii="Times New Roman" w:hAnsi="Times New Roman" w:cs="Times New Roman"/>
          <w:b/>
        </w:rPr>
      </w:pPr>
      <w:r w:rsidRPr="00DA310F">
        <w:rPr>
          <w:rFonts w:ascii="Times New Roman" w:hAnsi="Times New Roman" w:cs="Times New Roman"/>
          <w:b/>
        </w:rPr>
        <w:t>ТАРИФА ЛОКАЛНИХ КОМУНАЛНИХ ТАКСИ</w:t>
      </w:r>
    </w:p>
    <w:p w:rsidR="006544A6" w:rsidRPr="00330956" w:rsidRDefault="006544A6" w:rsidP="00AA6BA5">
      <w:pPr>
        <w:spacing w:after="0"/>
        <w:jc w:val="center"/>
        <w:rPr>
          <w:rFonts w:ascii="Times New Roman" w:hAnsi="Times New Roman" w:cs="Times New Roman"/>
        </w:rPr>
      </w:pPr>
    </w:p>
    <w:p w:rsidR="00AA6BA5" w:rsidRDefault="00AA6BA5" w:rsidP="006544A6">
      <w:pPr>
        <w:spacing w:after="0"/>
        <w:jc w:val="center"/>
        <w:rPr>
          <w:rFonts w:ascii="Times New Roman" w:hAnsi="Times New Roman" w:cs="Times New Roman"/>
          <w:b/>
        </w:rPr>
      </w:pPr>
      <w:r w:rsidRPr="006544A6">
        <w:rPr>
          <w:rFonts w:ascii="Times New Roman" w:hAnsi="Times New Roman" w:cs="Times New Roman"/>
          <w:b/>
        </w:rPr>
        <w:t>ТАРИФНИ БРОЈ 1.</w:t>
      </w:r>
    </w:p>
    <w:p w:rsidR="00DA310F" w:rsidRPr="006544A6" w:rsidRDefault="00DA310F" w:rsidP="006544A6">
      <w:pPr>
        <w:spacing w:after="0"/>
        <w:jc w:val="center"/>
        <w:rPr>
          <w:rFonts w:ascii="Times New Roman" w:hAnsi="Times New Roman" w:cs="Times New Roman"/>
          <w:b/>
        </w:rPr>
      </w:pPr>
    </w:p>
    <w:p w:rsidR="00AA6BA5" w:rsidRPr="00334688" w:rsidRDefault="00AA6BA5" w:rsidP="006544A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Комунална такса за истицање фирме на пословном простору утврђује се у годишњем износу за:</w:t>
      </w:r>
    </w:p>
    <w:p w:rsidR="00AA6BA5" w:rsidRPr="00334688" w:rsidRDefault="00AA6BA5" w:rsidP="006544A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17B3D">
        <w:rPr>
          <w:rFonts w:ascii="Times New Roman" w:hAnsi="Times New Roman" w:cs="Times New Roman"/>
          <w:b/>
        </w:rPr>
        <w:t>I</w:t>
      </w:r>
      <w:r w:rsidRPr="00334688">
        <w:rPr>
          <w:rFonts w:ascii="Times New Roman" w:hAnsi="Times New Roman" w:cs="Times New Roman"/>
        </w:rPr>
        <w:t xml:space="preserve">  Микро</w:t>
      </w:r>
      <w:proofErr w:type="gramEnd"/>
      <w:r w:rsidRPr="00334688">
        <w:rPr>
          <w:rFonts w:ascii="Times New Roman" w:hAnsi="Times New Roman" w:cs="Times New Roman"/>
        </w:rPr>
        <w:t>, мала правна лица и предузетнике који имају годишњи приход преко</w:t>
      </w:r>
      <w:r w:rsidR="006544A6">
        <w:rPr>
          <w:rFonts w:ascii="Times New Roman" w:hAnsi="Times New Roman" w:cs="Times New Roman"/>
          <w:lang w:val="sr-Cyrl-RS"/>
        </w:rPr>
        <w:t xml:space="preserve"> </w:t>
      </w:r>
      <w:r w:rsidRPr="00334688">
        <w:rPr>
          <w:rFonts w:ascii="Times New Roman" w:hAnsi="Times New Roman" w:cs="Times New Roman"/>
        </w:rPr>
        <w:t>50.000.000,00 динара,  као и за средња и велика правна лица према табели: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529"/>
        <w:gridCol w:w="3037"/>
      </w:tblGrid>
      <w:tr w:rsidR="006544A6" w:rsidRPr="00150292" w:rsidTr="006544A6">
        <w:tc>
          <w:tcPr>
            <w:tcW w:w="533" w:type="dxa"/>
            <w:vAlign w:val="center"/>
          </w:tcPr>
          <w:p w:rsidR="006544A6" w:rsidRDefault="006544A6" w:rsidP="006544A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6544A6" w:rsidRPr="006544A6" w:rsidRDefault="006544A6" w:rsidP="006544A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698" w:type="dxa"/>
            <w:vAlign w:val="center"/>
          </w:tcPr>
          <w:p w:rsidR="006544A6" w:rsidRPr="006544A6" w:rsidRDefault="006544A6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029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sr-Cyrl-RS"/>
              </w:rPr>
              <w:t>бвезник</w:t>
            </w:r>
          </w:p>
        </w:tc>
        <w:tc>
          <w:tcPr>
            <w:tcW w:w="3119" w:type="dxa"/>
            <w:vAlign w:val="center"/>
          </w:tcPr>
          <w:p w:rsidR="006544A6" w:rsidRPr="006544A6" w:rsidRDefault="006544A6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029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знос (динара)</w:t>
            </w:r>
          </w:p>
        </w:tc>
      </w:tr>
      <w:tr w:rsidR="00AA6BA5" w:rsidRPr="00150292" w:rsidTr="006544A6">
        <w:tc>
          <w:tcPr>
            <w:tcW w:w="533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8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Микро, мала правна лица  и предузетници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</w:tc>
        <w:tc>
          <w:tcPr>
            <w:tcW w:w="3119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1</w:t>
            </w:r>
            <w:r w:rsidR="00C75839">
              <w:rPr>
                <w:rFonts w:ascii="Times New Roman" w:hAnsi="Times New Roman" w:cs="Times New Roman"/>
                <w:lang w:val="sr-Cyrl-RS"/>
              </w:rPr>
              <w:t>8</w:t>
            </w:r>
            <w:r w:rsidRPr="00150292">
              <w:rPr>
                <w:rFonts w:ascii="Times New Roman" w:hAnsi="Times New Roman" w:cs="Times New Roman"/>
              </w:rPr>
              <w:t>.</w:t>
            </w:r>
            <w:r w:rsidR="00C75839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00</w:t>
            </w:r>
            <w:r w:rsidR="006544A6">
              <w:rPr>
                <w:rFonts w:ascii="Times New Roman" w:hAnsi="Times New Roman" w:cs="Times New Roman"/>
              </w:rPr>
              <w:t>,00</w:t>
            </w:r>
          </w:p>
        </w:tc>
      </w:tr>
      <w:tr w:rsidR="00AA6BA5" w:rsidRPr="00150292" w:rsidTr="006544A6">
        <w:tc>
          <w:tcPr>
            <w:tcW w:w="533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8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Средња правна лица</w:t>
            </w:r>
          </w:p>
        </w:tc>
        <w:tc>
          <w:tcPr>
            <w:tcW w:w="3119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C75839">
              <w:rPr>
                <w:rFonts w:ascii="Times New Roman" w:hAnsi="Times New Roman" w:cs="Times New Roman"/>
                <w:lang w:val="sr-Cyrl-RS"/>
              </w:rPr>
              <w:t>7</w:t>
            </w:r>
            <w:r w:rsidRPr="00150292">
              <w:rPr>
                <w:rFonts w:ascii="Times New Roman" w:hAnsi="Times New Roman" w:cs="Times New Roman"/>
              </w:rPr>
              <w:t>.</w:t>
            </w:r>
            <w:r w:rsidR="00C75839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00</w:t>
            </w:r>
            <w:r w:rsidR="006544A6">
              <w:rPr>
                <w:rFonts w:ascii="Times New Roman" w:hAnsi="Times New Roman" w:cs="Times New Roman"/>
              </w:rPr>
              <w:t>,00</w:t>
            </w:r>
          </w:p>
        </w:tc>
      </w:tr>
      <w:tr w:rsidR="00AA6BA5" w:rsidRPr="00150292" w:rsidTr="006544A6">
        <w:tc>
          <w:tcPr>
            <w:tcW w:w="533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8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Велика правна лица</w:t>
            </w:r>
            <w:r w:rsidRPr="00150292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</w:t>
            </w:r>
          </w:p>
        </w:tc>
        <w:tc>
          <w:tcPr>
            <w:tcW w:w="3119" w:type="dxa"/>
            <w:vAlign w:val="center"/>
          </w:tcPr>
          <w:p w:rsidR="00AA6BA5" w:rsidRPr="00150292" w:rsidRDefault="00C75839" w:rsidP="00654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  <w:r w:rsidR="00AA6BA5" w:rsidRPr="00150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85</w:t>
            </w:r>
            <w:r w:rsidR="00AA6BA5">
              <w:rPr>
                <w:rFonts w:ascii="Times New Roman" w:hAnsi="Times New Roman" w:cs="Times New Roman"/>
                <w:lang w:val="sr-Cyrl-RS"/>
              </w:rPr>
              <w:t>0</w:t>
            </w:r>
            <w:r w:rsidR="006544A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1D6F4E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7B3D">
        <w:rPr>
          <w:rFonts w:ascii="Times New Roman" w:hAnsi="Times New Roman" w:cs="Times New Roman"/>
          <w:b/>
        </w:rPr>
        <w:t>II</w:t>
      </w:r>
      <w:r w:rsidRPr="00334688">
        <w:rPr>
          <w:rFonts w:ascii="Times New Roman" w:hAnsi="Times New Roman" w:cs="Times New Roman"/>
        </w:rPr>
        <w:t xml:space="preserve"> Микро, мала, средња, велика правна лица и предузетнике који обављају следеће</w:t>
      </w:r>
      <w:r w:rsidR="00DA310F">
        <w:rPr>
          <w:rFonts w:ascii="Times New Roman" w:hAnsi="Times New Roman" w:cs="Times New Roman"/>
          <w:lang w:val="sr-Cyrl-RS"/>
        </w:rPr>
        <w:t xml:space="preserve"> </w:t>
      </w:r>
      <w:r w:rsidRPr="00334688">
        <w:rPr>
          <w:rFonts w:ascii="Times New Roman" w:hAnsi="Times New Roman" w:cs="Times New Roman"/>
        </w:rPr>
        <w:t>делатности према табели: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532"/>
        <w:gridCol w:w="3034"/>
      </w:tblGrid>
      <w:tr w:rsidR="00AA6BA5" w:rsidRPr="00150292" w:rsidTr="006544A6">
        <w:tc>
          <w:tcPr>
            <w:tcW w:w="534" w:type="dxa"/>
            <w:vAlign w:val="center"/>
          </w:tcPr>
          <w:p w:rsidR="00AA6BA5" w:rsidRDefault="006544A6" w:rsidP="006544A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6544A6" w:rsidRPr="006544A6" w:rsidRDefault="006544A6" w:rsidP="006544A6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850" w:type="dxa"/>
            <w:vAlign w:val="center"/>
          </w:tcPr>
          <w:p w:rsidR="00AA6BA5" w:rsidRPr="006544A6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0292">
              <w:rPr>
                <w:rFonts w:ascii="Times New Roman" w:hAnsi="Times New Roman" w:cs="Times New Roman"/>
              </w:rPr>
              <w:t>О</w:t>
            </w:r>
            <w:r w:rsidR="006544A6">
              <w:rPr>
                <w:rFonts w:ascii="Times New Roman" w:hAnsi="Times New Roman" w:cs="Times New Roman"/>
                <w:lang w:val="sr-Cyrl-RS"/>
              </w:rPr>
              <w:t>бвезник</w:t>
            </w:r>
          </w:p>
        </w:tc>
        <w:tc>
          <w:tcPr>
            <w:tcW w:w="3192" w:type="dxa"/>
            <w:vAlign w:val="center"/>
          </w:tcPr>
          <w:p w:rsidR="00AA6BA5" w:rsidRPr="006544A6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0292">
              <w:rPr>
                <w:rFonts w:ascii="Times New Roman" w:hAnsi="Times New Roman" w:cs="Times New Roman"/>
              </w:rPr>
              <w:t>И</w:t>
            </w:r>
            <w:r w:rsidR="006544A6">
              <w:rPr>
                <w:rFonts w:ascii="Times New Roman" w:hAnsi="Times New Roman" w:cs="Times New Roman"/>
                <w:lang w:val="sr-Cyrl-RS"/>
              </w:rPr>
              <w:t>знос (динара)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50" w:type="dxa"/>
          </w:tcPr>
          <w:p w:rsidR="00AA6BA5" w:rsidRPr="001F30A5" w:rsidRDefault="00AA6BA5" w:rsidP="00F46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Банкарства</w:t>
            </w:r>
          </w:p>
        </w:tc>
        <w:tc>
          <w:tcPr>
            <w:tcW w:w="3192" w:type="dxa"/>
            <w:vAlign w:val="center"/>
          </w:tcPr>
          <w:p w:rsidR="00AA6BA5" w:rsidRPr="001F30A5" w:rsidRDefault="00AA6BA5" w:rsidP="00654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30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75839">
              <w:rPr>
                <w:rFonts w:ascii="Times New Roman" w:hAnsi="Times New Roman" w:cs="Times New Roman"/>
                <w:color w:val="000000" w:themeColor="text1"/>
                <w:lang w:val="sr-Cyrl-RS"/>
              </w:rPr>
              <w:t>23</w:t>
            </w:r>
            <w:r w:rsidRPr="001F30A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000</w:t>
            </w:r>
            <w:r w:rsidR="006544A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50292" w:rsidRDefault="00AA6BA5" w:rsidP="00D37192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Осигурања имовине и лица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</w:tc>
        <w:tc>
          <w:tcPr>
            <w:tcW w:w="3192" w:type="dxa"/>
            <w:vAlign w:val="center"/>
          </w:tcPr>
          <w:p w:rsidR="00AA6BA5" w:rsidRPr="00150292" w:rsidRDefault="00C75839" w:rsidP="00654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308</w:t>
            </w:r>
            <w:r w:rsidR="00AA6BA5" w:rsidRPr="001F30A5">
              <w:rPr>
                <w:rFonts w:ascii="Times New Roman" w:hAnsi="Times New Roman" w:cs="Times New Roman"/>
              </w:rPr>
              <w:t>.</w:t>
            </w:r>
            <w:r w:rsidR="00AA6BA5">
              <w:rPr>
                <w:rFonts w:ascii="Times New Roman" w:hAnsi="Times New Roman" w:cs="Times New Roman"/>
                <w:lang w:val="sr-Cyrl-RS"/>
              </w:rPr>
              <w:t>000</w:t>
            </w:r>
            <w:r w:rsidR="006544A6">
              <w:rPr>
                <w:rFonts w:ascii="Times New Roman" w:hAnsi="Times New Roman" w:cs="Times New Roman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50292" w:rsidRDefault="00AA6BA5" w:rsidP="00D37192">
            <w:pPr>
              <w:jc w:val="center"/>
              <w:rPr>
                <w:rFonts w:ascii="Times New Roman" w:hAnsi="Times New Roman" w:cs="Times New Roman"/>
              </w:rPr>
            </w:pPr>
            <w:r w:rsidRPr="001502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нафтом и дериватима нафте</w:t>
            </w:r>
            <w:r w:rsidRPr="001F30A5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</w:tc>
        <w:tc>
          <w:tcPr>
            <w:tcW w:w="3192" w:type="dxa"/>
            <w:vAlign w:val="center"/>
          </w:tcPr>
          <w:p w:rsidR="00AA6BA5" w:rsidRPr="00150292" w:rsidRDefault="00AA6BA5" w:rsidP="006544A6">
            <w:pPr>
              <w:jc w:val="center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3</w:t>
            </w:r>
            <w:r w:rsidR="00C75839">
              <w:rPr>
                <w:rFonts w:ascii="Times New Roman" w:hAnsi="Times New Roman" w:cs="Times New Roman"/>
                <w:lang w:val="sr-Cyrl-RS"/>
              </w:rPr>
              <w:t>50</w:t>
            </w:r>
            <w:r w:rsidRPr="001F3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000</w:t>
            </w:r>
            <w:r w:rsidR="006544A6">
              <w:rPr>
                <w:rFonts w:ascii="Times New Roman" w:hAnsi="Times New Roman" w:cs="Times New Roman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Производње и трговине на велико дуванским производима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3E97">
              <w:rPr>
                <w:rFonts w:ascii="Times New Roman" w:hAnsi="Times New Roman" w:cs="Times New Roman"/>
                <w:lang w:val="sr-Cyrl-RS"/>
              </w:rPr>
              <w:t>3</w:t>
            </w:r>
            <w:r w:rsidR="00C75839">
              <w:rPr>
                <w:rFonts w:ascii="Times New Roman" w:hAnsi="Times New Roman" w:cs="Times New Roman"/>
                <w:lang w:val="sr-Cyrl-RS"/>
              </w:rPr>
              <w:t>5</w:t>
            </w:r>
            <w:r w:rsidR="006544A6">
              <w:rPr>
                <w:rFonts w:ascii="Times New Roman" w:hAnsi="Times New Roman" w:cs="Times New Roman"/>
                <w:lang w:val="sr-Cyrl-RS"/>
              </w:rPr>
              <w:t>0.000,00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Поштанских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1</w:t>
            </w:r>
            <w:r w:rsidR="00C75839">
              <w:rPr>
                <w:rFonts w:ascii="Times New Roman" w:hAnsi="Times New Roman" w:cs="Times New Roman"/>
                <w:lang w:val="sr-Cyrl-RS"/>
              </w:rPr>
              <w:t>31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C75839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00</w:t>
            </w:r>
            <w:r w:rsidR="006544A6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Мобилних и телефонских услуга</w:t>
            </w:r>
            <w:r w:rsidRPr="001F30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3</w:t>
            </w:r>
            <w:r w:rsidR="00C75839">
              <w:rPr>
                <w:rFonts w:ascii="Times New Roman" w:hAnsi="Times New Roman" w:cs="Times New Roman"/>
                <w:lang w:val="sr-Cyrl-RS"/>
              </w:rPr>
              <w:t>93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000</w:t>
            </w:r>
            <w:r w:rsidR="006544A6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Електропривреде</w:t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4</w:t>
            </w:r>
            <w:r w:rsidR="00C75839">
              <w:rPr>
                <w:rFonts w:ascii="Times New Roman" w:hAnsi="Times New Roman" w:cs="Times New Roman"/>
                <w:lang w:val="sr-Cyrl-RS"/>
              </w:rPr>
              <w:t>36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C75839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00</w:t>
            </w:r>
            <w:r w:rsidR="006544A6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Казина и коцкарнице                                                                            </w:t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3E97">
              <w:rPr>
                <w:rFonts w:ascii="Times New Roman" w:hAnsi="Times New Roman" w:cs="Times New Roman"/>
                <w:lang w:val="sr-Cyrl-RS"/>
              </w:rPr>
              <w:t>4</w:t>
            </w:r>
            <w:r w:rsidR="00C75839">
              <w:rPr>
                <w:rFonts w:ascii="Times New Roman" w:hAnsi="Times New Roman" w:cs="Times New Roman"/>
                <w:lang w:val="sr-Cyrl-RS"/>
              </w:rPr>
              <w:t>36</w:t>
            </w:r>
            <w:r w:rsidRPr="00D23E97">
              <w:rPr>
                <w:rFonts w:ascii="Times New Roman" w:hAnsi="Times New Roman" w:cs="Times New Roman"/>
                <w:lang w:val="sr-Cyrl-RS"/>
              </w:rPr>
              <w:t>.</w:t>
            </w:r>
            <w:r w:rsidR="00C75839">
              <w:rPr>
                <w:rFonts w:ascii="Times New Roman" w:hAnsi="Times New Roman" w:cs="Times New Roman"/>
                <w:lang w:val="sr-Cyrl-RS"/>
              </w:rPr>
              <w:t>2</w:t>
            </w:r>
            <w:r w:rsidR="006544A6">
              <w:rPr>
                <w:rFonts w:ascii="Times New Roman" w:hAnsi="Times New Roman" w:cs="Times New Roman"/>
                <w:lang w:val="sr-Cyrl-RS"/>
              </w:rPr>
              <w:t>00,00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>Кладионице</w:t>
            </w:r>
          </w:p>
        </w:tc>
        <w:tc>
          <w:tcPr>
            <w:tcW w:w="3192" w:type="dxa"/>
            <w:vAlign w:val="center"/>
          </w:tcPr>
          <w:p w:rsidR="00AA6BA5" w:rsidRDefault="00F73FD6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308</w:t>
            </w:r>
            <w:r w:rsidR="00AA6BA5"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AA6BA5">
              <w:rPr>
                <w:rFonts w:ascii="Times New Roman" w:hAnsi="Times New Roman" w:cs="Times New Roman"/>
                <w:lang w:val="sr-Cyrl-RS"/>
              </w:rPr>
              <w:t>000</w:t>
            </w:r>
            <w:r w:rsidR="006544A6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  <w:tr w:rsidR="00AA6BA5" w:rsidRPr="00150292" w:rsidTr="006544A6">
        <w:tc>
          <w:tcPr>
            <w:tcW w:w="534" w:type="dxa"/>
            <w:vAlign w:val="center"/>
          </w:tcPr>
          <w:p w:rsidR="00AA6BA5" w:rsidRPr="001F30A5" w:rsidRDefault="00AA6BA5" w:rsidP="00D3719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850" w:type="dxa"/>
          </w:tcPr>
          <w:p w:rsidR="00AA6BA5" w:rsidRPr="00150292" w:rsidRDefault="00AA6BA5" w:rsidP="00F46A47">
            <w:pPr>
              <w:jc w:val="both"/>
              <w:rPr>
                <w:rFonts w:ascii="Times New Roman" w:hAnsi="Times New Roman" w:cs="Times New Roman"/>
              </w:rPr>
            </w:pPr>
            <w:r w:rsidRPr="001F30A5">
              <w:rPr>
                <w:rFonts w:ascii="Times New Roman" w:hAnsi="Times New Roman" w:cs="Times New Roman"/>
              </w:rPr>
              <w:t xml:space="preserve">Ноћни барови и дискотеке                     </w:t>
            </w:r>
          </w:p>
        </w:tc>
        <w:tc>
          <w:tcPr>
            <w:tcW w:w="3192" w:type="dxa"/>
            <w:vAlign w:val="center"/>
          </w:tcPr>
          <w:p w:rsidR="00AA6BA5" w:rsidRDefault="00AA6BA5" w:rsidP="00654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30A5">
              <w:rPr>
                <w:rFonts w:ascii="Times New Roman" w:hAnsi="Times New Roman" w:cs="Times New Roman"/>
                <w:lang w:val="sr-Cyrl-RS"/>
              </w:rPr>
              <w:t>8</w:t>
            </w:r>
            <w:r w:rsidR="00F73FD6">
              <w:rPr>
                <w:rFonts w:ascii="Times New Roman" w:hAnsi="Times New Roman" w:cs="Times New Roman"/>
                <w:lang w:val="sr-Cyrl-RS"/>
              </w:rPr>
              <w:t>8</w:t>
            </w:r>
            <w:r w:rsidRPr="001F30A5">
              <w:rPr>
                <w:rFonts w:ascii="Times New Roman" w:hAnsi="Times New Roman" w:cs="Times New Roman"/>
                <w:lang w:val="sr-Cyrl-RS"/>
              </w:rPr>
              <w:t>.</w:t>
            </w:r>
            <w:r w:rsidR="00F73FD6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00</w:t>
            </w:r>
            <w:r w:rsidR="006544A6">
              <w:rPr>
                <w:rFonts w:ascii="Times New Roman" w:hAnsi="Times New Roman" w:cs="Times New Roman"/>
                <w:lang w:val="sr-Cyrl-RS"/>
              </w:rPr>
              <w:t>,00</w:t>
            </w:r>
          </w:p>
        </w:tc>
      </w:tr>
    </w:tbl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Default="00DA310F" w:rsidP="00DA31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А П О М Е Н А</w:t>
      </w:r>
    </w:p>
    <w:p w:rsidR="00DA310F" w:rsidRPr="00DA310F" w:rsidRDefault="00DA310F" w:rsidP="00DA310F">
      <w:pPr>
        <w:spacing w:after="0"/>
        <w:jc w:val="center"/>
        <w:rPr>
          <w:rFonts w:ascii="Times New Roman" w:hAnsi="Times New Roman" w:cs="Times New Roman"/>
        </w:rPr>
      </w:pP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1.</w:t>
      </w:r>
      <w:r w:rsidRPr="00334688">
        <w:rPr>
          <w:rFonts w:ascii="Times New Roman" w:hAnsi="Times New Roman" w:cs="Times New Roman"/>
        </w:rPr>
        <w:tab/>
        <w:t>Обвезници таксе за истицање фирме на пословном простору су правна лица и предузетници.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2.</w:t>
      </w:r>
      <w:r w:rsidRPr="00334688">
        <w:rPr>
          <w:rFonts w:ascii="Times New Roman" w:hAnsi="Times New Roman" w:cs="Times New Roman"/>
        </w:rPr>
        <w:tab/>
        <w:t>Предузетници и правна лица која су према закону којим се уређује рачуноводство разврстана у микро и мала правна лица,  а имају годишњи приход до 50.000.000,00 динара не плаћају комуналну таксу за истицање фирме на пословном простору.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3.</w:t>
      </w:r>
      <w:r w:rsidRPr="00334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Правним лицима која су </w:t>
      </w:r>
      <w:r w:rsidRPr="00334688">
        <w:rPr>
          <w:rFonts w:ascii="Times New Roman" w:hAnsi="Times New Roman" w:cs="Times New Roman"/>
        </w:rPr>
        <w:t>у поступку ликвидације</w:t>
      </w:r>
      <w:r>
        <w:rPr>
          <w:rFonts w:ascii="Times New Roman" w:hAnsi="Times New Roman" w:cs="Times New Roman"/>
          <w:lang w:val="sr-Cyrl-RS"/>
        </w:rPr>
        <w:t>,</w:t>
      </w:r>
      <w:r w:rsidRPr="002F0DA6">
        <w:t xml:space="preserve"> </w:t>
      </w:r>
      <w:r w:rsidRPr="002F0DA6">
        <w:rPr>
          <w:rFonts w:ascii="Times New Roman" w:hAnsi="Times New Roman" w:cs="Times New Roman"/>
        </w:rPr>
        <w:t>а не обављају делатност</w:t>
      </w:r>
      <w:r>
        <w:rPr>
          <w:rFonts w:ascii="Times New Roman" w:hAnsi="Times New Roman" w:cs="Times New Roman"/>
          <w:lang w:val="sr-Cyrl-RS"/>
        </w:rPr>
        <w:t>,</w:t>
      </w:r>
      <w:r w:rsidRPr="00334688">
        <w:rPr>
          <w:rFonts w:ascii="Times New Roman" w:hAnsi="Times New Roman" w:cs="Times New Roman"/>
        </w:rPr>
        <w:t xml:space="preserve"> утврђује се локална комунална такса за истицање фирме до дана објављивања одлуке о покретању поступка ликвидације у складу са законом којим се уређује ликвидација привредних субјеката.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4.</w:t>
      </w:r>
      <w:r w:rsidRPr="00334688">
        <w:rPr>
          <w:rFonts w:ascii="Times New Roman" w:hAnsi="Times New Roman" w:cs="Times New Roman"/>
        </w:rPr>
        <w:tab/>
        <w:t>Такса по овом тарифном броју утврђује се годишње,</w:t>
      </w:r>
      <w:r w:rsidR="009E196E">
        <w:rPr>
          <w:rFonts w:ascii="Times New Roman" w:hAnsi="Times New Roman" w:cs="Times New Roman"/>
          <w:lang w:val="sr-Cyrl-RS"/>
        </w:rPr>
        <w:t xml:space="preserve"> </w:t>
      </w:r>
      <w:r w:rsidRPr="00334688">
        <w:rPr>
          <w:rFonts w:ascii="Times New Roman" w:hAnsi="Times New Roman" w:cs="Times New Roman"/>
        </w:rPr>
        <w:t xml:space="preserve">посебним решењем надлежног органа, односно сразмерно времену истицања фирме, а плаћа се месечно у висини 1/12 годишњег износа и то до 15. </w:t>
      </w:r>
      <w:proofErr w:type="gramStart"/>
      <w:r w:rsidRPr="00334688">
        <w:rPr>
          <w:rFonts w:ascii="Times New Roman" w:hAnsi="Times New Roman" w:cs="Times New Roman"/>
        </w:rPr>
        <w:t>у</w:t>
      </w:r>
      <w:proofErr w:type="gramEnd"/>
      <w:r w:rsidRPr="00334688">
        <w:rPr>
          <w:rFonts w:ascii="Times New Roman" w:hAnsi="Times New Roman" w:cs="Times New Roman"/>
        </w:rPr>
        <w:t xml:space="preserve"> месецу за претходни месец.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5.</w:t>
      </w:r>
      <w:r w:rsidRPr="00334688">
        <w:rPr>
          <w:rFonts w:ascii="Times New Roman" w:hAnsi="Times New Roman" w:cs="Times New Roman"/>
        </w:rPr>
        <w:tab/>
        <w:t>Обвезник таксе из овог тарифног броја, са седиштем на територији општине Оџаци, који има више истакнутих фирми или назива ван пословног седишта, за сваку  пословну јединицу  плаћа 50% од износа таксе из овог тарифног броја.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6.</w:t>
      </w:r>
      <w:r w:rsidRPr="00334688">
        <w:rPr>
          <w:rFonts w:ascii="Times New Roman" w:hAnsi="Times New Roman" w:cs="Times New Roman"/>
        </w:rPr>
        <w:tab/>
        <w:t>Пословне јединице правних лица и предузетника који су разврстани према закону којим се уређује рачуноводство а које немају седиште на територији општине Оџаци, за прву отворену пословну јединицу плаћају таксу у пуном износу а за сваку следећу пословну јединицу плаћају 5о% од утврђеног износа.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7.</w:t>
      </w:r>
      <w:r w:rsidRPr="00334688">
        <w:rPr>
          <w:rFonts w:ascii="Times New Roman" w:hAnsi="Times New Roman" w:cs="Times New Roman"/>
        </w:rPr>
        <w:tab/>
        <w:t xml:space="preserve">Предузетницима који су привремено одјавили обављање делатности умањује се годишњи износ таксе из овог тарифног броја за време трајања привремене одјаве. </w:t>
      </w:r>
    </w:p>
    <w:p w:rsidR="00AA6BA5" w:rsidRPr="00334688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DA310F" w:rsidRDefault="00DA310F" w:rsidP="00AA6BA5">
      <w:pPr>
        <w:spacing w:after="0"/>
        <w:jc w:val="both"/>
        <w:rPr>
          <w:rFonts w:ascii="Times New Roman" w:hAnsi="Times New Roman" w:cs="Times New Roman"/>
        </w:rPr>
      </w:pPr>
    </w:p>
    <w:p w:rsidR="00DA310F" w:rsidRDefault="00DA310F" w:rsidP="00AA6BA5">
      <w:pPr>
        <w:spacing w:after="0"/>
        <w:jc w:val="both"/>
        <w:rPr>
          <w:rFonts w:ascii="Times New Roman" w:hAnsi="Times New Roman" w:cs="Times New Roman"/>
        </w:rPr>
      </w:pPr>
    </w:p>
    <w:p w:rsidR="00DA310F" w:rsidRDefault="00DA310F" w:rsidP="00DA310F">
      <w:pPr>
        <w:spacing w:after="0"/>
        <w:jc w:val="center"/>
        <w:rPr>
          <w:rFonts w:ascii="Times New Roman" w:hAnsi="Times New Roman" w:cs="Times New Roman"/>
          <w:b/>
        </w:rPr>
      </w:pPr>
    </w:p>
    <w:p w:rsidR="00AA6BA5" w:rsidRPr="00DA310F" w:rsidRDefault="00AA6BA5" w:rsidP="00DA310F">
      <w:pPr>
        <w:spacing w:after="0"/>
        <w:jc w:val="center"/>
        <w:rPr>
          <w:rFonts w:ascii="Times New Roman" w:hAnsi="Times New Roman" w:cs="Times New Roman"/>
          <w:b/>
        </w:rPr>
      </w:pPr>
      <w:r w:rsidRPr="00DA310F">
        <w:rPr>
          <w:rFonts w:ascii="Times New Roman" w:hAnsi="Times New Roman" w:cs="Times New Roman"/>
          <w:b/>
        </w:rPr>
        <w:t>ТАРИФНИ БРОЈ 2.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DA310F" w:rsidRPr="00334688" w:rsidRDefault="00DA310F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Default="00AA6BA5" w:rsidP="00DA310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4688">
        <w:rPr>
          <w:rFonts w:ascii="Times New Roman" w:hAnsi="Times New Roman" w:cs="Times New Roman"/>
        </w:rPr>
        <w:t>За држање моторних друмских и прикључних возила, осим пољопривредних возила и машина, приликом регистрације возила плаћа се комунална такса у износима, према табели:</w:t>
      </w:r>
    </w:p>
    <w:p w:rsidR="00DA310F" w:rsidRDefault="00DA310F" w:rsidP="00DA310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10F" w:rsidRDefault="00DA310F" w:rsidP="00DA310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A310F" w:rsidRPr="00334688" w:rsidRDefault="00DA310F" w:rsidP="00DA310F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479"/>
        <w:gridCol w:w="3087"/>
      </w:tblGrid>
      <w:tr w:rsidR="00D37192" w:rsidRPr="0059777B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777B">
              <w:rPr>
                <w:rFonts w:ascii="Times New Roman" w:hAnsi="Times New Roman" w:cs="Times New Roman"/>
                <w:lang w:val="sr-Cyrl-RS"/>
              </w:rPr>
              <w:t>Редни бро</w:t>
            </w:r>
            <w:r>
              <w:rPr>
                <w:rFonts w:ascii="Times New Roman" w:hAnsi="Times New Roman" w:cs="Times New Roman"/>
                <w:lang w:val="sr-Cyrl-RS"/>
              </w:rPr>
              <w:t>ј</w:t>
            </w:r>
          </w:p>
        </w:tc>
        <w:tc>
          <w:tcPr>
            <w:tcW w:w="5479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777B">
              <w:rPr>
                <w:rFonts w:ascii="Times New Roman" w:hAnsi="Times New Roman" w:cs="Times New Roman"/>
                <w:lang w:val="sr-Cyrl-RS"/>
              </w:rPr>
              <w:t>Врста возила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9777B">
              <w:rPr>
                <w:rFonts w:ascii="Times New Roman" w:hAnsi="Times New Roman" w:cs="Times New Roman"/>
                <w:lang w:val="sr-Cyrl-RS"/>
              </w:rPr>
              <w:t>Износ таксе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(динара)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ТЕРЕТНА ВОЗИЛА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jc w:val="both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За камионе до 2 т носивости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1.</w:t>
            </w:r>
            <w:r w:rsidRPr="0059777B">
              <w:rPr>
                <w:rFonts w:ascii="Times New Roman" w:hAnsi="Times New Roman" w:cs="Times New Roman"/>
                <w:lang w:val="sr-Cyrl-RS"/>
              </w:rPr>
              <w:t>730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1.2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jc w:val="both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За камионе од 2 т до 5 т носивости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2.</w:t>
            </w:r>
            <w:r w:rsidRPr="0059777B">
              <w:rPr>
                <w:rFonts w:ascii="Times New Roman" w:hAnsi="Times New Roman" w:cs="Times New Roman"/>
                <w:lang w:val="sr-Cyrl-RS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1.3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jc w:val="both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За камионе од 5 т до 12 т носивости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  <w:lang w:val="sr-Cyrl-RS"/>
              </w:rPr>
              <w:t>4</w:t>
            </w:r>
            <w:r w:rsidRPr="0059777B">
              <w:rPr>
                <w:rFonts w:ascii="Times New Roman" w:hAnsi="Times New Roman" w:cs="Times New Roman"/>
              </w:rPr>
              <w:t>.</w:t>
            </w:r>
            <w:r w:rsidRPr="0059777B">
              <w:rPr>
                <w:rFonts w:ascii="Times New Roman" w:hAnsi="Times New Roman" w:cs="Times New Roman"/>
                <w:lang w:val="sr-Cyrl-RS"/>
              </w:rPr>
              <w:t>02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1.4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jc w:val="both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За камионе преко 12 т  носивости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59777B">
              <w:rPr>
                <w:rFonts w:ascii="Times New Roman" w:hAnsi="Times New Roman" w:cs="Times New Roman"/>
              </w:rPr>
              <w:t>5.</w:t>
            </w:r>
            <w:r w:rsidRPr="0059777B">
              <w:rPr>
                <w:rFonts w:ascii="Times New Roman" w:hAnsi="Times New Roman" w:cs="Times New Roman"/>
                <w:lang w:val="sr-Cyrl-RS"/>
              </w:rPr>
              <w:t>74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ЗА ТЕРЕТНЕ И РАДНЕ ПРИКОЛИЦЕ (ЗА ПУТНИЧКЕ АУТОМОБИЛЕ)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ПУТНИЧКА ВОЗИЛА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3.1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F62">
              <w:rPr>
                <w:rFonts w:ascii="Times New Roman" w:hAnsi="Times New Roman" w:cs="Times New Roman"/>
              </w:rPr>
              <w:t>До 1.150цм3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5</w:t>
            </w:r>
            <w:r w:rsidRPr="00EB7A90"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3.2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B2F62">
              <w:rPr>
                <w:rFonts w:ascii="Times New Roman" w:hAnsi="Times New Roman" w:cs="Times New Roman"/>
              </w:rPr>
              <w:t>Преко 1.150цм3 до 1.300ц3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1.</w:t>
            </w:r>
            <w:r w:rsidRPr="00EB7A90">
              <w:rPr>
                <w:rFonts w:ascii="Times New Roman" w:hAnsi="Times New Roman" w:cs="Times New Roman"/>
                <w:lang w:val="sr-Cyrl-RS"/>
              </w:rPr>
              <w:t>14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F62">
              <w:rPr>
                <w:rFonts w:ascii="Times New Roman" w:hAnsi="Times New Roman" w:cs="Times New Roman"/>
              </w:rPr>
              <w:t>Преко 1.300цм3 до 1.600цм3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1.</w:t>
            </w:r>
            <w:r w:rsidRPr="00EB7A90">
              <w:rPr>
                <w:rFonts w:ascii="Times New Roman" w:hAnsi="Times New Roman" w:cs="Times New Roman"/>
                <w:lang w:val="sr-Cyrl-RS"/>
              </w:rPr>
              <w:t>72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3.4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F62">
              <w:rPr>
                <w:rFonts w:ascii="Times New Roman" w:hAnsi="Times New Roman" w:cs="Times New Roman"/>
              </w:rPr>
              <w:t>Преко 1.600цм3 до 2.000цм3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2.</w:t>
            </w:r>
            <w:r w:rsidRPr="00EB7A90">
              <w:rPr>
                <w:rFonts w:ascii="Times New Roman" w:hAnsi="Times New Roman" w:cs="Times New Roman"/>
                <w:lang w:val="sr-Cyrl-RS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3.5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F62">
              <w:rPr>
                <w:rFonts w:ascii="Times New Roman" w:hAnsi="Times New Roman" w:cs="Times New Roman"/>
              </w:rPr>
              <w:t>Преко 2.000цм3 до 3.000цм3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3.</w:t>
            </w:r>
            <w:r w:rsidRPr="00EB7A90">
              <w:rPr>
                <w:rFonts w:ascii="Times New Roman" w:hAnsi="Times New Roman" w:cs="Times New Roman"/>
                <w:lang w:val="sr-Cyrl-RS"/>
              </w:rPr>
              <w:t>47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3.6</w:t>
            </w:r>
          </w:p>
        </w:tc>
        <w:tc>
          <w:tcPr>
            <w:tcW w:w="5479" w:type="dxa"/>
          </w:tcPr>
          <w:p w:rsidR="00D37192" w:rsidRPr="00FB2F62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2F62">
              <w:rPr>
                <w:rFonts w:ascii="Times New Roman" w:hAnsi="Times New Roman" w:cs="Times New Roman"/>
              </w:rPr>
              <w:t>Преко 3.000цм3</w:t>
            </w:r>
          </w:p>
        </w:tc>
        <w:tc>
          <w:tcPr>
            <w:tcW w:w="3087" w:type="dxa"/>
          </w:tcPr>
          <w:p w:rsidR="00D37192" w:rsidRPr="00EB7A90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EB7A90">
              <w:rPr>
                <w:rFonts w:ascii="Times New Roman" w:hAnsi="Times New Roman" w:cs="Times New Roman"/>
              </w:rPr>
              <w:t>5.</w:t>
            </w:r>
            <w:r w:rsidRPr="00EB7A90">
              <w:rPr>
                <w:rFonts w:ascii="Times New Roman" w:hAnsi="Times New Roman" w:cs="Times New Roman"/>
                <w:lang w:val="sr-Cyrl-RS"/>
              </w:rPr>
              <w:t>74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МОТОЦИКЛИ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4.1</w:t>
            </w:r>
          </w:p>
        </w:tc>
        <w:tc>
          <w:tcPr>
            <w:tcW w:w="5479" w:type="dxa"/>
          </w:tcPr>
          <w:p w:rsidR="00D37192" w:rsidRPr="00007317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7317">
              <w:rPr>
                <w:rFonts w:ascii="Times New Roman" w:hAnsi="Times New Roman" w:cs="Times New Roman"/>
              </w:rPr>
              <w:t>до 125цм3</w:t>
            </w:r>
          </w:p>
        </w:tc>
        <w:tc>
          <w:tcPr>
            <w:tcW w:w="3087" w:type="dxa"/>
          </w:tcPr>
          <w:p w:rsidR="00D37192" w:rsidRPr="00212852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52">
              <w:rPr>
                <w:rFonts w:ascii="Times New Roman" w:hAnsi="Times New Roman" w:cs="Times New Roman"/>
              </w:rPr>
              <w:t>4</w:t>
            </w:r>
            <w:r w:rsidRPr="00212852"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4.2</w:t>
            </w:r>
          </w:p>
        </w:tc>
        <w:tc>
          <w:tcPr>
            <w:tcW w:w="5479" w:type="dxa"/>
          </w:tcPr>
          <w:p w:rsidR="00D37192" w:rsidRPr="00007317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7317">
              <w:rPr>
                <w:rFonts w:ascii="Times New Roman" w:hAnsi="Times New Roman" w:cs="Times New Roman"/>
              </w:rPr>
              <w:t>преко 125цм3 до 250цм3</w:t>
            </w:r>
          </w:p>
        </w:tc>
        <w:tc>
          <w:tcPr>
            <w:tcW w:w="3087" w:type="dxa"/>
          </w:tcPr>
          <w:p w:rsidR="00D37192" w:rsidRPr="00212852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52">
              <w:rPr>
                <w:rFonts w:ascii="Times New Roman" w:hAnsi="Times New Roman" w:cs="Times New Roman"/>
              </w:rPr>
              <w:t>6</w:t>
            </w:r>
            <w:r w:rsidRPr="00212852"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4.3</w:t>
            </w:r>
          </w:p>
        </w:tc>
        <w:tc>
          <w:tcPr>
            <w:tcW w:w="5479" w:type="dxa"/>
          </w:tcPr>
          <w:p w:rsidR="00D37192" w:rsidRPr="00007317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7317">
              <w:rPr>
                <w:rFonts w:ascii="Times New Roman" w:hAnsi="Times New Roman" w:cs="Times New Roman"/>
              </w:rPr>
              <w:t>преко 250цм3 до 500цм3</w:t>
            </w:r>
          </w:p>
        </w:tc>
        <w:tc>
          <w:tcPr>
            <w:tcW w:w="3087" w:type="dxa"/>
          </w:tcPr>
          <w:p w:rsidR="00D37192" w:rsidRPr="00212852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52">
              <w:rPr>
                <w:rFonts w:ascii="Times New Roman" w:hAnsi="Times New Roman" w:cs="Times New Roman"/>
              </w:rPr>
              <w:t>1.</w:t>
            </w:r>
            <w:r w:rsidRPr="00212852">
              <w:rPr>
                <w:rFonts w:ascii="Times New Roman" w:hAnsi="Times New Roman" w:cs="Times New Roman"/>
                <w:lang w:val="sr-Cyrl-RS"/>
              </w:rPr>
              <w:t>14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4.4</w:t>
            </w:r>
          </w:p>
        </w:tc>
        <w:tc>
          <w:tcPr>
            <w:tcW w:w="5479" w:type="dxa"/>
          </w:tcPr>
          <w:p w:rsidR="00D37192" w:rsidRPr="00007317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7317">
              <w:rPr>
                <w:rFonts w:ascii="Times New Roman" w:hAnsi="Times New Roman" w:cs="Times New Roman"/>
              </w:rPr>
              <w:t>преко 500цм3 до 1.200цм3</w:t>
            </w:r>
          </w:p>
        </w:tc>
        <w:tc>
          <w:tcPr>
            <w:tcW w:w="3087" w:type="dxa"/>
          </w:tcPr>
          <w:p w:rsidR="00D37192" w:rsidRPr="00212852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52">
              <w:rPr>
                <w:rFonts w:ascii="Times New Roman" w:hAnsi="Times New Roman" w:cs="Times New Roman"/>
              </w:rPr>
              <w:t>1.</w:t>
            </w:r>
            <w:r w:rsidRPr="00212852">
              <w:rPr>
                <w:rFonts w:ascii="Times New Roman" w:hAnsi="Times New Roman" w:cs="Times New Roman"/>
                <w:lang w:val="sr-Cyrl-RS"/>
              </w:rPr>
              <w:t>39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4.5</w:t>
            </w:r>
          </w:p>
        </w:tc>
        <w:tc>
          <w:tcPr>
            <w:tcW w:w="5479" w:type="dxa"/>
          </w:tcPr>
          <w:p w:rsidR="00D37192" w:rsidRDefault="00D37192" w:rsidP="001662A9">
            <w:r w:rsidRPr="00007317">
              <w:rPr>
                <w:rFonts w:ascii="Times New Roman" w:hAnsi="Times New Roman" w:cs="Times New Roman"/>
              </w:rPr>
              <w:t>преко 1.200цм3</w:t>
            </w:r>
          </w:p>
        </w:tc>
        <w:tc>
          <w:tcPr>
            <w:tcW w:w="3087" w:type="dxa"/>
          </w:tcPr>
          <w:p w:rsidR="00D37192" w:rsidRPr="00212852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852">
              <w:rPr>
                <w:rFonts w:ascii="Times New Roman" w:hAnsi="Times New Roman" w:cs="Times New Roman"/>
              </w:rPr>
              <w:t>1.</w:t>
            </w:r>
            <w:r w:rsidRPr="00212852">
              <w:rPr>
                <w:rFonts w:ascii="Times New Roman" w:hAnsi="Times New Roman" w:cs="Times New Roman"/>
                <w:lang w:val="sr-Cyrl-RS"/>
              </w:rPr>
              <w:t>72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5479" w:type="dxa"/>
          </w:tcPr>
          <w:p w:rsidR="00D37192" w:rsidRPr="0059777B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9777B">
              <w:rPr>
                <w:rFonts w:ascii="Times New Roman" w:hAnsi="Times New Roman" w:cs="Times New Roman"/>
                <w:b/>
                <w:lang w:val="sr-Cyrl-RS"/>
              </w:rPr>
              <w:t>АУТОБУСИ И КОМБИ БУСЕВИ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(по регистрованом седишту)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50,00</w:t>
            </w:r>
          </w:p>
        </w:tc>
      </w:tr>
      <w:tr w:rsidR="00D37192" w:rsidTr="00DA310F">
        <w:trPr>
          <w:trHeight w:val="1124"/>
        </w:trPr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lastRenderedPageBreak/>
              <w:t>6.</w:t>
            </w:r>
          </w:p>
        </w:tc>
        <w:tc>
          <w:tcPr>
            <w:tcW w:w="5479" w:type="dxa"/>
          </w:tcPr>
          <w:p w:rsidR="00D37192" w:rsidRPr="00176988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t>ПРИКЉУЧНА ВОЗИЛА, ТЕРЕТНЕ ПРИКОЛИЦЕ, ПОЛУПРИКОЛИЦЕ И СПЕЦИЈАЛНЕ ТЕРЕТНЕ ПРИКОЛИЦЕ ЗА ПРЕВОЗ ОДРЕЂЕНИХ ВРСТА ТЕРЕТА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6.1</w:t>
            </w:r>
          </w:p>
        </w:tc>
        <w:tc>
          <w:tcPr>
            <w:tcW w:w="5479" w:type="dxa"/>
          </w:tcPr>
          <w:p w:rsidR="00D37192" w:rsidRPr="00A542B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42B5">
              <w:rPr>
                <w:rFonts w:ascii="Times New Roman" w:hAnsi="Times New Roman" w:cs="Times New Roman"/>
              </w:rPr>
              <w:t>1 т носивости</w:t>
            </w:r>
          </w:p>
        </w:tc>
        <w:tc>
          <w:tcPr>
            <w:tcW w:w="3087" w:type="dxa"/>
          </w:tcPr>
          <w:p w:rsidR="00D37192" w:rsidRPr="004A3B44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B44">
              <w:rPr>
                <w:rFonts w:ascii="Times New Roman" w:hAnsi="Times New Roman" w:cs="Times New Roman"/>
                <w:lang w:val="sr-Cyrl-RS"/>
              </w:rPr>
              <w:t>46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6.2</w:t>
            </w:r>
          </w:p>
        </w:tc>
        <w:tc>
          <w:tcPr>
            <w:tcW w:w="5479" w:type="dxa"/>
          </w:tcPr>
          <w:p w:rsidR="00D37192" w:rsidRPr="00A542B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42B5">
              <w:rPr>
                <w:rFonts w:ascii="Times New Roman" w:hAnsi="Times New Roman" w:cs="Times New Roman"/>
              </w:rPr>
              <w:t>Од 1 т до 5 т носивости</w:t>
            </w:r>
          </w:p>
        </w:tc>
        <w:tc>
          <w:tcPr>
            <w:tcW w:w="3087" w:type="dxa"/>
          </w:tcPr>
          <w:p w:rsidR="00D37192" w:rsidRPr="004A3B44" w:rsidRDefault="00D37192" w:rsidP="00166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B44">
              <w:rPr>
                <w:rFonts w:ascii="Times New Roman" w:hAnsi="Times New Roman" w:cs="Times New Roman"/>
                <w:lang w:val="sr-Cyrl-RS"/>
              </w:rPr>
              <w:t>80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6.3</w:t>
            </w:r>
          </w:p>
        </w:tc>
        <w:tc>
          <w:tcPr>
            <w:tcW w:w="5479" w:type="dxa"/>
          </w:tcPr>
          <w:p w:rsidR="00D37192" w:rsidRPr="00A542B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42B5">
              <w:rPr>
                <w:rFonts w:ascii="Times New Roman" w:hAnsi="Times New Roman" w:cs="Times New Roman"/>
              </w:rPr>
              <w:t>Од  5 т до 10 т носивости</w:t>
            </w:r>
          </w:p>
        </w:tc>
        <w:tc>
          <w:tcPr>
            <w:tcW w:w="3087" w:type="dxa"/>
          </w:tcPr>
          <w:p w:rsidR="00D37192" w:rsidRPr="004A3B44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4A3B44">
              <w:rPr>
                <w:rFonts w:ascii="Times New Roman" w:hAnsi="Times New Roman" w:cs="Times New Roman"/>
              </w:rPr>
              <w:t>1.0</w:t>
            </w:r>
            <w:r w:rsidRPr="004A3B44"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6.4</w:t>
            </w:r>
          </w:p>
        </w:tc>
        <w:tc>
          <w:tcPr>
            <w:tcW w:w="5479" w:type="dxa"/>
          </w:tcPr>
          <w:p w:rsidR="00D37192" w:rsidRPr="00A542B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42B5">
              <w:rPr>
                <w:rFonts w:ascii="Times New Roman" w:hAnsi="Times New Roman" w:cs="Times New Roman"/>
              </w:rPr>
              <w:t>Од  10 т  до 12 т носивости</w:t>
            </w:r>
          </w:p>
        </w:tc>
        <w:tc>
          <w:tcPr>
            <w:tcW w:w="3087" w:type="dxa"/>
          </w:tcPr>
          <w:p w:rsidR="00D37192" w:rsidRPr="004A3B44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4A3B44">
              <w:rPr>
                <w:rFonts w:ascii="Times New Roman" w:hAnsi="Times New Roman" w:cs="Times New Roman"/>
              </w:rPr>
              <w:t>1.</w:t>
            </w:r>
            <w:r w:rsidRPr="004A3B44">
              <w:rPr>
                <w:rFonts w:ascii="Times New Roman" w:hAnsi="Times New Roman" w:cs="Times New Roman"/>
                <w:lang w:val="sr-Cyrl-RS"/>
              </w:rPr>
              <w:t>50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6.5</w:t>
            </w:r>
          </w:p>
        </w:tc>
        <w:tc>
          <w:tcPr>
            <w:tcW w:w="5479" w:type="dxa"/>
          </w:tcPr>
          <w:p w:rsidR="00D37192" w:rsidRDefault="00D37192" w:rsidP="001662A9">
            <w:r w:rsidRPr="00A542B5">
              <w:rPr>
                <w:rFonts w:ascii="Times New Roman" w:hAnsi="Times New Roman" w:cs="Times New Roman"/>
              </w:rPr>
              <w:t>Носивости  преко 12 т</w:t>
            </w:r>
          </w:p>
        </w:tc>
        <w:tc>
          <w:tcPr>
            <w:tcW w:w="3087" w:type="dxa"/>
          </w:tcPr>
          <w:p w:rsidR="00D37192" w:rsidRPr="004A3B44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4A3B44">
              <w:rPr>
                <w:rFonts w:ascii="Times New Roman" w:hAnsi="Times New Roman" w:cs="Times New Roman"/>
              </w:rPr>
              <w:t>2.</w:t>
            </w:r>
            <w:r w:rsidRPr="004A3B44">
              <w:rPr>
                <w:rFonts w:ascii="Times New Roman" w:hAnsi="Times New Roman" w:cs="Times New Roman"/>
                <w:lang w:val="sr-Cyrl-RS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5479" w:type="dxa"/>
          </w:tcPr>
          <w:p w:rsidR="00D37192" w:rsidRPr="00176988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t>ВУЧНА ВОЗИЛА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(ТЕГЉАЧИ) чија је снага мотора</w:t>
            </w:r>
          </w:p>
        </w:tc>
        <w:tc>
          <w:tcPr>
            <w:tcW w:w="3087" w:type="dxa"/>
            <w:vAlign w:val="center"/>
          </w:tcPr>
          <w:p w:rsidR="00D37192" w:rsidRPr="0059777B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7.1</w:t>
            </w:r>
          </w:p>
        </w:tc>
        <w:tc>
          <w:tcPr>
            <w:tcW w:w="5479" w:type="dxa"/>
          </w:tcPr>
          <w:p w:rsidR="00D37192" w:rsidRPr="009A10A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9A10A5">
              <w:rPr>
                <w:rFonts w:ascii="Times New Roman" w:hAnsi="Times New Roman" w:cs="Times New Roman"/>
              </w:rPr>
              <w:t>о 66 киловата</w:t>
            </w:r>
          </w:p>
        </w:tc>
        <w:tc>
          <w:tcPr>
            <w:tcW w:w="3087" w:type="dxa"/>
          </w:tcPr>
          <w:p w:rsidR="00D37192" w:rsidRPr="00A46A98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A46A98">
              <w:rPr>
                <w:rFonts w:ascii="Times New Roman" w:hAnsi="Times New Roman" w:cs="Times New Roman"/>
              </w:rPr>
              <w:t>1.</w:t>
            </w:r>
            <w:r w:rsidRPr="00A46A98">
              <w:rPr>
                <w:rFonts w:ascii="Times New Roman" w:hAnsi="Times New Roman" w:cs="Times New Roman"/>
                <w:lang w:val="sr-Cyrl-RS"/>
              </w:rPr>
              <w:t>72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7.2</w:t>
            </w:r>
          </w:p>
        </w:tc>
        <w:tc>
          <w:tcPr>
            <w:tcW w:w="5479" w:type="dxa"/>
          </w:tcPr>
          <w:p w:rsidR="00D37192" w:rsidRPr="009A10A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9A10A5">
              <w:rPr>
                <w:rFonts w:ascii="Times New Roman" w:hAnsi="Times New Roman" w:cs="Times New Roman"/>
              </w:rPr>
              <w:t>д 66-96 киловата</w:t>
            </w:r>
          </w:p>
        </w:tc>
        <w:tc>
          <w:tcPr>
            <w:tcW w:w="3087" w:type="dxa"/>
          </w:tcPr>
          <w:p w:rsidR="00D37192" w:rsidRPr="00A46A98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A46A98">
              <w:rPr>
                <w:rFonts w:ascii="Times New Roman" w:hAnsi="Times New Roman" w:cs="Times New Roman"/>
              </w:rPr>
              <w:t>2.</w:t>
            </w:r>
            <w:r w:rsidRPr="00A46A98">
              <w:rPr>
                <w:rFonts w:ascii="Times New Roman" w:hAnsi="Times New Roman" w:cs="Times New Roman"/>
                <w:lang w:val="sr-Cyrl-RS"/>
              </w:rPr>
              <w:t>30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7.3</w:t>
            </w:r>
          </w:p>
        </w:tc>
        <w:tc>
          <w:tcPr>
            <w:tcW w:w="5479" w:type="dxa"/>
          </w:tcPr>
          <w:p w:rsidR="00D37192" w:rsidRPr="009A10A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9A10A5">
              <w:rPr>
                <w:rFonts w:ascii="Times New Roman" w:hAnsi="Times New Roman" w:cs="Times New Roman"/>
              </w:rPr>
              <w:t>д 96-132 киловата</w:t>
            </w:r>
          </w:p>
        </w:tc>
        <w:tc>
          <w:tcPr>
            <w:tcW w:w="3087" w:type="dxa"/>
          </w:tcPr>
          <w:p w:rsidR="00D37192" w:rsidRPr="00A46A98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A46A98">
              <w:rPr>
                <w:rFonts w:ascii="Times New Roman" w:hAnsi="Times New Roman" w:cs="Times New Roman"/>
              </w:rPr>
              <w:t>2.</w:t>
            </w:r>
            <w:r w:rsidRPr="00A46A98"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7.4</w:t>
            </w:r>
          </w:p>
        </w:tc>
        <w:tc>
          <w:tcPr>
            <w:tcW w:w="5479" w:type="dxa"/>
          </w:tcPr>
          <w:p w:rsidR="00D37192" w:rsidRPr="009A10A5" w:rsidRDefault="00D37192" w:rsidP="00166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9A10A5">
              <w:rPr>
                <w:rFonts w:ascii="Times New Roman" w:hAnsi="Times New Roman" w:cs="Times New Roman"/>
              </w:rPr>
              <w:t>д 13-177 киловата</w:t>
            </w:r>
          </w:p>
        </w:tc>
        <w:tc>
          <w:tcPr>
            <w:tcW w:w="3087" w:type="dxa"/>
          </w:tcPr>
          <w:p w:rsidR="00D37192" w:rsidRPr="00A46A98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A46A98">
              <w:rPr>
                <w:rFonts w:ascii="Times New Roman" w:hAnsi="Times New Roman" w:cs="Times New Roman"/>
              </w:rPr>
              <w:t>3.</w:t>
            </w:r>
            <w:r w:rsidRPr="00A46A98">
              <w:rPr>
                <w:rFonts w:ascii="Times New Roman" w:hAnsi="Times New Roman" w:cs="Times New Roman"/>
                <w:lang w:val="sr-Cyrl-RS"/>
              </w:rPr>
              <w:t>47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7.5</w:t>
            </w:r>
          </w:p>
        </w:tc>
        <w:tc>
          <w:tcPr>
            <w:tcW w:w="5479" w:type="dxa"/>
          </w:tcPr>
          <w:p w:rsidR="00D37192" w:rsidRDefault="00D37192" w:rsidP="001662A9"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9A10A5">
              <w:rPr>
                <w:rFonts w:ascii="Times New Roman" w:hAnsi="Times New Roman" w:cs="Times New Roman"/>
              </w:rPr>
              <w:t>реко 177 киловата</w:t>
            </w:r>
          </w:p>
        </w:tc>
        <w:tc>
          <w:tcPr>
            <w:tcW w:w="3087" w:type="dxa"/>
          </w:tcPr>
          <w:p w:rsidR="00D37192" w:rsidRPr="00A46A98" w:rsidRDefault="00D37192" w:rsidP="001662A9">
            <w:pPr>
              <w:jc w:val="center"/>
              <w:rPr>
                <w:rFonts w:ascii="Times New Roman" w:hAnsi="Times New Roman" w:cs="Times New Roman"/>
              </w:rPr>
            </w:pPr>
            <w:r w:rsidRPr="00A46A98">
              <w:rPr>
                <w:rFonts w:ascii="Times New Roman" w:hAnsi="Times New Roman" w:cs="Times New Roman"/>
              </w:rPr>
              <w:t>4.</w:t>
            </w:r>
            <w:r w:rsidRPr="00A46A98">
              <w:rPr>
                <w:rFonts w:ascii="Times New Roman" w:hAnsi="Times New Roman" w:cs="Times New Roman"/>
                <w:lang w:val="sr-Cyrl-RS"/>
              </w:rPr>
              <w:t>61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192" w:rsidTr="001662A9">
        <w:tc>
          <w:tcPr>
            <w:tcW w:w="784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5479" w:type="dxa"/>
          </w:tcPr>
          <w:p w:rsidR="00D37192" w:rsidRPr="00176988" w:rsidRDefault="00D37192" w:rsidP="001662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76988">
              <w:rPr>
                <w:rFonts w:ascii="Times New Roman" w:hAnsi="Times New Roman" w:cs="Times New Roman"/>
                <w:b/>
                <w:lang w:val="sr-Cyrl-RS"/>
              </w:rPr>
              <w:t>ЗА РАДНА ВОЗИЛА, СПЕЦИЈАЛНА АДАПТИРАНА ВОЗИЛА ЗА ПРЕВОЗ РЕКВИЗИТА ЗА ПУТУЈУЋЕ ЗАБАВЕ, РАДЊЕ И АТЕСТИРАНА СПЕЦИЈАЛИЗОВАНА ВОЗИЛА ЗА ПРЕВОЗ ПЧЕЛА</w:t>
            </w:r>
          </w:p>
        </w:tc>
        <w:tc>
          <w:tcPr>
            <w:tcW w:w="3087" w:type="dxa"/>
            <w:vAlign w:val="center"/>
          </w:tcPr>
          <w:p w:rsidR="00D37192" w:rsidRPr="00176988" w:rsidRDefault="00D37192" w:rsidP="001662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1.140,00</w:t>
            </w:r>
          </w:p>
        </w:tc>
      </w:tr>
    </w:tbl>
    <w:p w:rsidR="0096529D" w:rsidRPr="00334688" w:rsidRDefault="0096529D" w:rsidP="0096529D">
      <w:pPr>
        <w:spacing w:after="0"/>
        <w:jc w:val="both"/>
        <w:rPr>
          <w:rFonts w:ascii="Times New Roman" w:hAnsi="Times New Roman" w:cs="Times New Roman"/>
        </w:rPr>
      </w:pPr>
    </w:p>
    <w:p w:rsidR="00AA6BA5" w:rsidRDefault="00DA310F" w:rsidP="00DA31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А П О М Е Н А</w:t>
      </w:r>
    </w:p>
    <w:p w:rsidR="00DA310F" w:rsidRPr="00330956" w:rsidRDefault="00DA310F" w:rsidP="00DA310F">
      <w:pPr>
        <w:spacing w:after="0"/>
        <w:jc w:val="center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1.</w:t>
      </w:r>
      <w:r w:rsidRPr="00330956">
        <w:rPr>
          <w:rFonts w:ascii="Times New Roman" w:hAnsi="Times New Roman" w:cs="Times New Roman"/>
        </w:rPr>
        <w:tab/>
        <w:t>Обвезник из овог тарифног броја је правно лице, предузетник и физичко лице на чије се име региструје моторно, друмско и прикључно возило.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2.</w:t>
      </w:r>
      <w:r w:rsidRPr="00330956">
        <w:rPr>
          <w:rFonts w:ascii="Times New Roman" w:hAnsi="Times New Roman" w:cs="Times New Roman"/>
        </w:rPr>
        <w:tab/>
        <w:t xml:space="preserve">Такса из овог тарифног броја плаћа се једанпут годишње приликом регистрације моторног возила код МУП Републике Србије, ПС Оџаци, на одговарајући рачун у корист буџета општине Оџаци (унапред за годину дана). 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0956">
        <w:rPr>
          <w:rFonts w:ascii="Times New Roman" w:hAnsi="Times New Roman" w:cs="Times New Roman"/>
        </w:rPr>
        <w:t>3.</w:t>
      </w:r>
      <w:r w:rsidRPr="00330956">
        <w:rPr>
          <w:rFonts w:ascii="Times New Roman" w:hAnsi="Times New Roman" w:cs="Times New Roman"/>
        </w:rPr>
        <w:tab/>
        <w:t>Ималац моторног возила дужан је да приликом регистрације моторног возила поднесе надлежном органу за регистрацију доказ о плаћеној такси по овом тарифном броју на одговарајући рачун.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  <w:r>
        <w:rPr>
          <w:rFonts w:ascii="Times New Roman" w:hAnsi="Times New Roman" w:cs="Times New Roman"/>
          <w:lang w:val="sr-Cyrl-RS"/>
        </w:rPr>
        <w:tab/>
        <w:t xml:space="preserve">Таксу из тачке 3. Овог Тарифног броја не плаћају: 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власници путничких возила, особе са инвалидитетом од 80 и више процената телесног оштећења или код којих постоји оштећење које има за последицу неспособност доњих екстремитета од 60 или више процената за прво возило које се на њихово име региструје у току године;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власници путничких возила родитељи вишеструко ометене деце која су у отвореној заштити, односно о којима родитељи непосредно брину, за прво возило </w:t>
      </w:r>
      <w:r w:rsidRPr="00865873">
        <w:rPr>
          <w:rFonts w:ascii="Times New Roman" w:hAnsi="Times New Roman" w:cs="Times New Roman"/>
          <w:lang w:val="sr-Cyrl-RS"/>
        </w:rPr>
        <w:t>које се на њихово име региструје у току године;</w:t>
      </w:r>
    </w:p>
    <w:p w:rsidR="00AA6BA5" w:rsidRPr="00865873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Доказ о испуњењу услова за остваривање права из претходног става ове тачке, издаје надлежни орган за годину за коју се врши регистрација.</w:t>
      </w:r>
    </w:p>
    <w:p w:rsidR="00AA6BA5" w:rsidRDefault="00AA6BA5" w:rsidP="00DA310F">
      <w:pPr>
        <w:spacing w:after="0"/>
        <w:jc w:val="center"/>
        <w:rPr>
          <w:rFonts w:ascii="Times New Roman" w:hAnsi="Times New Roman" w:cs="Times New Roman"/>
          <w:b/>
        </w:rPr>
      </w:pPr>
      <w:r w:rsidRPr="00DA310F">
        <w:rPr>
          <w:rFonts w:ascii="Times New Roman" w:hAnsi="Times New Roman" w:cs="Times New Roman"/>
          <w:b/>
        </w:rPr>
        <w:lastRenderedPageBreak/>
        <w:t xml:space="preserve">ТАРИФНИ БРОЈ </w:t>
      </w:r>
      <w:r w:rsidR="00F73FD6" w:rsidRPr="00DA310F">
        <w:rPr>
          <w:rFonts w:ascii="Times New Roman" w:hAnsi="Times New Roman" w:cs="Times New Roman"/>
          <w:b/>
          <w:lang w:val="sr-Cyrl-RS"/>
        </w:rPr>
        <w:t>3</w:t>
      </w:r>
      <w:r w:rsidRPr="00DA310F">
        <w:rPr>
          <w:rFonts w:ascii="Times New Roman" w:hAnsi="Times New Roman" w:cs="Times New Roman"/>
          <w:b/>
        </w:rPr>
        <w:t>.</w:t>
      </w:r>
    </w:p>
    <w:p w:rsidR="00DA310F" w:rsidRPr="00DA310F" w:rsidRDefault="00DA310F" w:rsidP="00DA310F">
      <w:pPr>
        <w:spacing w:after="0"/>
        <w:jc w:val="center"/>
        <w:rPr>
          <w:rFonts w:ascii="Times New Roman" w:hAnsi="Times New Roman" w:cs="Times New Roman"/>
          <w:b/>
        </w:rPr>
      </w:pPr>
    </w:p>
    <w:p w:rsidR="00F73FD6" w:rsidRPr="00330956" w:rsidRDefault="00F73FD6" w:rsidP="00DA310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За држање средстава за игру (забавне игре), на рачунарима, симулаторима, видео-аутоматима, флиперима и сличним направама које се стављају у погон уз помоћ новца или жетона, као и билијар, пикадо и друге сличне игре у којима учесник не остварује добитак у новцу или стварима већ право на бесплатну игру, плаћа се комунална такса по уређају </w:t>
      </w:r>
      <w:r>
        <w:rPr>
          <w:rFonts w:ascii="Times New Roman" w:hAnsi="Times New Roman" w:cs="Times New Roman"/>
          <w:lang w:val="sr-Cyrl-RS"/>
        </w:rPr>
        <w:t>55</w:t>
      </w:r>
      <w:r w:rsidRPr="00330956">
        <w:rPr>
          <w:rFonts w:ascii="Times New Roman" w:hAnsi="Times New Roman" w:cs="Times New Roman"/>
        </w:rPr>
        <w:t xml:space="preserve">,00  </w:t>
      </w:r>
      <w:r w:rsidR="00264585">
        <w:rPr>
          <w:rFonts w:ascii="Times New Roman" w:hAnsi="Times New Roman" w:cs="Times New Roman"/>
          <w:lang w:val="sr-Cyrl-RS"/>
        </w:rPr>
        <w:t>д</w:t>
      </w:r>
      <w:r w:rsidRPr="00330956">
        <w:rPr>
          <w:rFonts w:ascii="Times New Roman" w:hAnsi="Times New Roman" w:cs="Times New Roman"/>
        </w:rPr>
        <w:t>инара</w:t>
      </w:r>
      <w:r w:rsidR="00264585" w:rsidRPr="00264585">
        <w:t xml:space="preserve"> </w:t>
      </w:r>
      <w:r w:rsidR="00264585" w:rsidRPr="00264585">
        <w:rPr>
          <w:rFonts w:ascii="Times New Roman" w:hAnsi="Times New Roman" w:cs="Times New Roman"/>
        </w:rPr>
        <w:t>дневно</w:t>
      </w:r>
      <w:r w:rsidRPr="00330956">
        <w:rPr>
          <w:rFonts w:ascii="Times New Roman" w:hAnsi="Times New Roman" w:cs="Times New Roman"/>
        </w:rPr>
        <w:t>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                  </w:t>
      </w:r>
    </w:p>
    <w:p w:rsidR="00F73FD6" w:rsidRDefault="00F73FD6" w:rsidP="00DA310F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НАПОМЕНА:</w:t>
      </w:r>
    </w:p>
    <w:p w:rsidR="00DA310F" w:rsidRDefault="00DA310F" w:rsidP="00F73FD6">
      <w:pPr>
        <w:spacing w:after="0"/>
        <w:jc w:val="both"/>
        <w:rPr>
          <w:rFonts w:ascii="Times New Roman" w:hAnsi="Times New Roman" w:cs="Times New Roman"/>
        </w:rPr>
      </w:pP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1.</w:t>
      </w:r>
      <w:r w:rsidR="00DA310F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>Такса по овом тарифном броју утврђује се у дневном износу.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2.</w:t>
      </w:r>
      <w:r w:rsidR="00DA310F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>Обвезник таксе из овог тарифног броја, је правно лице или предузетник који држи средства и апарате за забавне игре.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3.</w:t>
      </w:r>
      <w:r w:rsidR="00DA310F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>Таксени обвезник је дужан да пријави држање средстава и апарата за забавне игре Општинској управи, Оде</w:t>
      </w:r>
      <w:r>
        <w:rPr>
          <w:rFonts w:ascii="Times New Roman" w:hAnsi="Times New Roman" w:cs="Times New Roman"/>
          <w:lang w:val="sr-Cyrl-RS"/>
        </w:rPr>
        <w:t>љ</w:t>
      </w:r>
      <w:r w:rsidRPr="00330956">
        <w:rPr>
          <w:rFonts w:ascii="Times New Roman" w:hAnsi="Times New Roman" w:cs="Times New Roman"/>
        </w:rPr>
        <w:t xml:space="preserve">ењу </w:t>
      </w:r>
      <w:r w:rsidR="00264585">
        <w:rPr>
          <w:rFonts w:ascii="Times New Roman" w:hAnsi="Times New Roman" w:cs="Times New Roman"/>
          <w:lang w:val="sr-Cyrl-RS"/>
        </w:rPr>
        <w:t>за финансије и јавне приходе</w:t>
      </w:r>
      <w:r w:rsidRPr="00330956">
        <w:rPr>
          <w:rFonts w:ascii="Times New Roman" w:hAnsi="Times New Roman" w:cs="Times New Roman"/>
        </w:rPr>
        <w:t>, пре почетка коришћења средстава за игру.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Пријава садржи: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-</w:t>
      </w:r>
      <w:r w:rsidRPr="00330956">
        <w:rPr>
          <w:rFonts w:ascii="Times New Roman" w:hAnsi="Times New Roman" w:cs="Times New Roman"/>
        </w:rPr>
        <w:tab/>
      </w:r>
      <w:proofErr w:type="gramStart"/>
      <w:r w:rsidRPr="00330956">
        <w:rPr>
          <w:rFonts w:ascii="Times New Roman" w:hAnsi="Times New Roman" w:cs="Times New Roman"/>
        </w:rPr>
        <w:t>за</w:t>
      </w:r>
      <w:proofErr w:type="gramEnd"/>
      <w:r w:rsidRPr="00330956">
        <w:rPr>
          <w:rFonts w:ascii="Times New Roman" w:hAnsi="Times New Roman" w:cs="Times New Roman"/>
        </w:rPr>
        <w:t xml:space="preserve"> правна лица: порески идентификациони број, матични број правног лица и текући рачун, тачну адресу седишта правног лица; адресу места држања апарата, врсту, марку, тип и серијски број апарата и датум почетка коришћења средстава за игру.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-</w:t>
      </w:r>
      <w:r w:rsidRPr="00330956">
        <w:rPr>
          <w:rFonts w:ascii="Times New Roman" w:hAnsi="Times New Roman" w:cs="Times New Roman"/>
        </w:rPr>
        <w:tab/>
        <w:t>за предузетнике: порески идентификациони број, назив радње са тачном адресом, делатност, име и презиме власника, ЈМБГ и број личне карте, текући рачун, адресу места држања апарата, врсту, марку, тип и серијски број апарата и датум почетка коришћења  средстава за игру.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4.</w:t>
      </w:r>
      <w:r w:rsidR="00DA310F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 xml:space="preserve">Такса из овог тарифног броја утврђује се решењем које доноси Општинска управа, </w:t>
      </w:r>
      <w:r w:rsidR="00264585" w:rsidRPr="00264585">
        <w:rPr>
          <w:rFonts w:ascii="Times New Roman" w:hAnsi="Times New Roman" w:cs="Times New Roman"/>
        </w:rPr>
        <w:t>Одељењ</w:t>
      </w:r>
      <w:r w:rsidR="00264585">
        <w:rPr>
          <w:rFonts w:ascii="Times New Roman" w:hAnsi="Times New Roman" w:cs="Times New Roman"/>
          <w:lang w:val="sr-Cyrl-RS"/>
        </w:rPr>
        <w:t>е</w:t>
      </w:r>
      <w:r w:rsidR="00264585" w:rsidRPr="00264585">
        <w:rPr>
          <w:rFonts w:ascii="Times New Roman" w:hAnsi="Times New Roman" w:cs="Times New Roman"/>
        </w:rPr>
        <w:t xml:space="preserve"> за финансије и јавне приходе</w:t>
      </w:r>
      <w:r w:rsidRPr="00330956">
        <w:rPr>
          <w:rFonts w:ascii="Times New Roman" w:hAnsi="Times New Roman" w:cs="Times New Roman"/>
        </w:rPr>
        <w:t>.</w:t>
      </w:r>
    </w:p>
    <w:p w:rsidR="00F73FD6" w:rsidRPr="00330956" w:rsidRDefault="00F73FD6" w:rsidP="00F73FD6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5.</w:t>
      </w:r>
      <w:r w:rsidR="00DA310F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 xml:space="preserve">Такса по овом тарифном броју плаћа се сразмерно времену коришћења, до 15.  </w:t>
      </w:r>
      <w:proofErr w:type="gramStart"/>
      <w:r w:rsidRPr="00330956">
        <w:rPr>
          <w:rFonts w:ascii="Times New Roman" w:hAnsi="Times New Roman" w:cs="Times New Roman"/>
        </w:rPr>
        <w:t>у</w:t>
      </w:r>
      <w:proofErr w:type="gramEnd"/>
      <w:r w:rsidRPr="00330956">
        <w:rPr>
          <w:rFonts w:ascii="Times New Roman" w:hAnsi="Times New Roman" w:cs="Times New Roman"/>
        </w:rPr>
        <w:t xml:space="preserve"> месецу за претходни месец.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14.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Одлука о локалним комуналним таксама општине Оџаци може се мењати једанпут годишње и то у поступку утврђивања буџета општине за наредну годину.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Изузетно, ова Одлука може се изменити и у случају доношења, односно измене закона или другог прописа којим се уређују изворни приходи јединице локалне самоуправе.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15.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Надзор над применом одредаба ове одлуке врши Општинска управа, Оде</w:t>
      </w:r>
      <w:r>
        <w:rPr>
          <w:rFonts w:ascii="Times New Roman" w:hAnsi="Times New Roman" w:cs="Times New Roman"/>
          <w:lang w:val="sr-Cyrl-RS"/>
        </w:rPr>
        <w:t>љ</w:t>
      </w:r>
      <w:r w:rsidRPr="00330956">
        <w:rPr>
          <w:rFonts w:ascii="Times New Roman" w:hAnsi="Times New Roman" w:cs="Times New Roman"/>
        </w:rPr>
        <w:t xml:space="preserve">ење </w:t>
      </w:r>
      <w:r w:rsidR="00F73FD6">
        <w:rPr>
          <w:rFonts w:ascii="Times New Roman" w:hAnsi="Times New Roman" w:cs="Times New Roman"/>
          <w:lang w:val="sr-Cyrl-RS"/>
        </w:rPr>
        <w:t>за финансије и јавне приходе</w:t>
      </w:r>
      <w:r w:rsidRPr="00330956">
        <w:rPr>
          <w:rFonts w:ascii="Times New Roman" w:hAnsi="Times New Roman" w:cs="Times New Roman"/>
        </w:rPr>
        <w:t>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>Послове инспекцијског надзора над применом одредаба ове одлуке врши Општинска управа - Оде</w:t>
      </w:r>
      <w:r>
        <w:rPr>
          <w:rFonts w:ascii="Times New Roman" w:hAnsi="Times New Roman" w:cs="Times New Roman"/>
          <w:lang w:val="sr-Cyrl-RS"/>
        </w:rPr>
        <w:t>љ</w:t>
      </w:r>
      <w:r w:rsidRPr="00330956">
        <w:rPr>
          <w:rFonts w:ascii="Times New Roman" w:hAnsi="Times New Roman" w:cs="Times New Roman"/>
        </w:rPr>
        <w:t>ење за инспекцијске послове</w:t>
      </w:r>
      <w:r w:rsidR="00F73FD6">
        <w:rPr>
          <w:rFonts w:ascii="Times New Roman" w:hAnsi="Times New Roman" w:cs="Times New Roman"/>
          <w:lang w:val="sr-Cyrl-RS"/>
        </w:rPr>
        <w:t xml:space="preserve"> и заштиту животне средине</w:t>
      </w:r>
      <w:r w:rsidRPr="00330956">
        <w:rPr>
          <w:rFonts w:ascii="Times New Roman" w:hAnsi="Times New Roman" w:cs="Times New Roman"/>
        </w:rPr>
        <w:t xml:space="preserve">. 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16.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ab/>
        <w:t xml:space="preserve">Ова одлука ступа на снагу осмог дана од дана објављивања у </w:t>
      </w:r>
      <w:r w:rsidR="00DA310F">
        <w:rPr>
          <w:rFonts w:ascii="Times New Roman" w:hAnsi="Times New Roman" w:cs="Times New Roman"/>
        </w:rPr>
        <w:t>Службеном листу општине Оџаци</w:t>
      </w:r>
      <w:r w:rsidRPr="00330956">
        <w:rPr>
          <w:rFonts w:ascii="Times New Roman" w:hAnsi="Times New Roman" w:cs="Times New Roman"/>
        </w:rPr>
        <w:t>, а примењиваће се од 01.01.20</w:t>
      </w:r>
      <w:r w:rsidR="00F73FD6">
        <w:rPr>
          <w:rFonts w:ascii="Times New Roman" w:hAnsi="Times New Roman" w:cs="Times New Roman"/>
          <w:lang w:val="sr-Cyrl-RS"/>
        </w:rPr>
        <w:t>20</w:t>
      </w:r>
      <w:r w:rsidRPr="00330956">
        <w:rPr>
          <w:rFonts w:ascii="Times New Roman" w:hAnsi="Times New Roman" w:cs="Times New Roman"/>
        </w:rPr>
        <w:t>.године.</w:t>
      </w:r>
    </w:p>
    <w:p w:rsidR="00AA6BA5" w:rsidRPr="00330956" w:rsidRDefault="00AA6BA5" w:rsidP="00AA6BA5">
      <w:pPr>
        <w:spacing w:after="0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Члан 17.</w:t>
      </w:r>
    </w:p>
    <w:p w:rsidR="00AA6BA5" w:rsidRDefault="00AA6BA5" w:rsidP="00AA6BA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30956">
        <w:rPr>
          <w:rFonts w:ascii="Times New Roman" w:hAnsi="Times New Roman" w:cs="Times New Roman"/>
        </w:rPr>
        <w:tab/>
        <w:t xml:space="preserve">Ступањем на снагу ове одлуке престаје да важи </w:t>
      </w:r>
      <w:r w:rsidRPr="00BC1055">
        <w:rPr>
          <w:rFonts w:ascii="Times New Roman" w:hAnsi="Times New Roman" w:cs="Times New Roman"/>
        </w:rPr>
        <w:t>Одлук</w:t>
      </w:r>
      <w:r>
        <w:rPr>
          <w:rFonts w:ascii="Times New Roman" w:hAnsi="Times New Roman" w:cs="Times New Roman"/>
          <w:lang w:val="sr-Cyrl-RS"/>
        </w:rPr>
        <w:t>а</w:t>
      </w:r>
      <w:r w:rsidRPr="00BC1055">
        <w:rPr>
          <w:rFonts w:ascii="Times New Roman" w:hAnsi="Times New Roman" w:cs="Times New Roman"/>
        </w:rPr>
        <w:t xml:space="preserve"> о локалним комуналним таксама ("Службени .лист општине Оџаци", бр.</w:t>
      </w:r>
      <w:r w:rsidRPr="00AA6BA5">
        <w:t xml:space="preserve"> </w:t>
      </w:r>
      <w:r w:rsidRPr="00AA6BA5">
        <w:rPr>
          <w:rFonts w:ascii="Times New Roman" w:hAnsi="Times New Roman" w:cs="Times New Roman"/>
        </w:rPr>
        <w:t>14/2016</w:t>
      </w:r>
      <w:r w:rsidR="00F73FD6">
        <w:rPr>
          <w:rFonts w:ascii="Times New Roman" w:hAnsi="Times New Roman" w:cs="Times New Roman"/>
          <w:lang w:val="sr-Cyrl-RS"/>
        </w:rPr>
        <w:t>,</w:t>
      </w:r>
      <w:r w:rsidRPr="00AA6BA5">
        <w:rPr>
          <w:rFonts w:ascii="Times New Roman" w:hAnsi="Times New Roman" w:cs="Times New Roman"/>
        </w:rPr>
        <w:t xml:space="preserve"> 25/2017</w:t>
      </w:r>
      <w:r>
        <w:rPr>
          <w:rFonts w:ascii="Times New Roman" w:hAnsi="Times New Roman" w:cs="Times New Roman"/>
          <w:lang w:val="sr-Cyrl-RS"/>
        </w:rPr>
        <w:t xml:space="preserve"> и 17/2018</w:t>
      </w:r>
      <w:r w:rsidRPr="00BC1055">
        <w:rPr>
          <w:rFonts w:ascii="Times New Roman" w:hAnsi="Times New Roman" w:cs="Times New Roman"/>
        </w:rPr>
        <w:t xml:space="preserve">).  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СКУПШТИНА ОПШТИНЕ ОЏАЦИ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>Број: 011-</w:t>
      </w:r>
      <w:r>
        <w:rPr>
          <w:rFonts w:ascii="Times New Roman" w:hAnsi="Times New Roman" w:cs="Times New Roman"/>
          <w:lang w:val="sr-Cyrl-RS"/>
        </w:rPr>
        <w:t xml:space="preserve">     </w:t>
      </w:r>
      <w:r w:rsidRPr="00330956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sr-Cyrl-RS"/>
        </w:rPr>
        <w:t>9</w:t>
      </w:r>
      <w:r w:rsidRPr="00330956">
        <w:rPr>
          <w:rFonts w:ascii="Times New Roman" w:hAnsi="Times New Roman" w:cs="Times New Roman"/>
        </w:rPr>
        <w:t>-II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330956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sr-Cyrl-RS"/>
        </w:rPr>
        <w:t>9</w:t>
      </w:r>
      <w:r w:rsidRPr="00330956">
        <w:rPr>
          <w:rFonts w:ascii="Times New Roman" w:hAnsi="Times New Roman" w:cs="Times New Roman"/>
        </w:rPr>
        <w:t>.године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</w:rPr>
        <w:t xml:space="preserve">           ОЏАЦИ</w:t>
      </w:r>
      <w:r w:rsidRPr="00330956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ab/>
      </w:r>
      <w:r w:rsidRPr="0033095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lang w:val="sr-Cyrl-RS"/>
        </w:rPr>
        <w:tab/>
      </w:r>
      <w:r w:rsidRPr="00330956">
        <w:rPr>
          <w:rFonts w:ascii="Times New Roman" w:hAnsi="Times New Roman" w:cs="Times New Roman"/>
        </w:rPr>
        <w:t xml:space="preserve">    Председник Скупштине,</w:t>
      </w:r>
    </w:p>
    <w:p w:rsidR="00AA6BA5" w:rsidRDefault="000C29BA" w:rsidP="00AA6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BA5">
        <w:rPr>
          <w:rFonts w:ascii="Times New Roman" w:hAnsi="Times New Roman" w:cs="Times New Roman"/>
          <w:lang w:val="sr-Cyrl-RS"/>
        </w:rPr>
        <w:t>Горан Ђаковић</w:t>
      </w:r>
      <w:r w:rsidR="00AA6BA5" w:rsidRPr="00330956">
        <w:rPr>
          <w:rFonts w:ascii="Times New Roman" w:hAnsi="Times New Roman" w:cs="Times New Roman"/>
        </w:rPr>
        <w:t xml:space="preserve"> </w:t>
      </w:r>
    </w:p>
    <w:p w:rsidR="00AA6BA5" w:rsidRDefault="00DA310F" w:rsidP="000C29BA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A6BA5" w:rsidRPr="00BC1055">
        <w:rPr>
          <w:rFonts w:ascii="Times New Roman" w:hAnsi="Times New Roman" w:cs="Times New Roman"/>
        </w:rPr>
        <w:lastRenderedPageBreak/>
        <w:t>О б р а з л о ж е њ е</w:t>
      </w:r>
    </w:p>
    <w:p w:rsidR="009D0175" w:rsidRPr="00BC1055" w:rsidRDefault="009D0175" w:rsidP="00AA6BA5">
      <w:pPr>
        <w:spacing w:after="0"/>
        <w:jc w:val="center"/>
        <w:rPr>
          <w:rFonts w:ascii="Times New Roman" w:hAnsi="Times New Roman" w:cs="Times New Roman"/>
        </w:rPr>
      </w:pPr>
    </w:p>
    <w:p w:rsidR="00AA6BA5" w:rsidRPr="00BC1055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AA6BA5" w:rsidRDefault="00AA6BA5" w:rsidP="00AA6B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C29BA">
        <w:rPr>
          <w:rFonts w:ascii="Times New Roman" w:hAnsi="Times New Roman" w:cs="Times New Roman"/>
        </w:rPr>
        <w:t>Правни основ</w:t>
      </w:r>
      <w:r w:rsidRPr="00BC1055">
        <w:rPr>
          <w:rFonts w:ascii="Times New Roman" w:hAnsi="Times New Roman" w:cs="Times New Roman"/>
        </w:rPr>
        <w:t xml:space="preserve"> за доношење ове Одлуке налази се у њеној преамбули.</w:t>
      </w:r>
    </w:p>
    <w:p w:rsidR="00C55897" w:rsidRPr="00A51000" w:rsidRDefault="00C55897" w:rsidP="00AA6BA5">
      <w:pPr>
        <w:spacing w:after="0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AA6BA5" w:rsidRDefault="00AA6BA5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C29BA">
        <w:rPr>
          <w:rFonts w:ascii="Times New Roman" w:hAnsi="Times New Roman" w:cs="Times New Roman"/>
        </w:rPr>
        <w:t>Разлог</w:t>
      </w:r>
      <w:r w:rsidRPr="00BC1055">
        <w:rPr>
          <w:rFonts w:ascii="Times New Roman" w:hAnsi="Times New Roman" w:cs="Times New Roman"/>
        </w:rPr>
        <w:t xml:space="preserve"> за њено доношење је прописан у члану 7. Закон</w:t>
      </w:r>
      <w:r w:rsidR="00C55897">
        <w:rPr>
          <w:rFonts w:ascii="Times New Roman" w:hAnsi="Times New Roman" w:cs="Times New Roman"/>
          <w:lang w:val="sr-Cyrl-RS"/>
        </w:rPr>
        <w:t>а</w:t>
      </w:r>
      <w:r w:rsidRPr="00BC1055">
        <w:rPr>
          <w:rFonts w:ascii="Times New Roman" w:hAnsi="Times New Roman" w:cs="Times New Roman"/>
        </w:rPr>
        <w:t xml:space="preserve"> </w:t>
      </w:r>
      <w:r w:rsidR="00C55897" w:rsidRPr="00C55897">
        <w:rPr>
          <w:rFonts w:ascii="Times New Roman" w:hAnsi="Times New Roman" w:cs="Times New Roman"/>
        </w:rPr>
        <w:t xml:space="preserve">о финансирању локалне самоуправе ("Сл. гласник РС", бр. 62/2006, 47/2011, 93/2012, 99/2013 - усклађени дин. изн. 125/2014 - усклађени дин. изн. и 95/2015 - усклађени дин. изн. 104/2016 - усклађени дин. изн.   96/2017- усклађени дин.изн. 89/2018 - усклађени дин.изн. </w:t>
      </w:r>
      <w:proofErr w:type="gramStart"/>
      <w:r w:rsidR="00C55897" w:rsidRPr="00C55897">
        <w:rPr>
          <w:rFonts w:ascii="Times New Roman" w:hAnsi="Times New Roman" w:cs="Times New Roman"/>
        </w:rPr>
        <w:t>и</w:t>
      </w:r>
      <w:proofErr w:type="gramEnd"/>
      <w:r w:rsidR="00C55897" w:rsidRPr="00C55897">
        <w:rPr>
          <w:rFonts w:ascii="Times New Roman" w:hAnsi="Times New Roman" w:cs="Times New Roman"/>
        </w:rPr>
        <w:t xml:space="preserve"> 95/2018 - др. закон)</w:t>
      </w:r>
      <w:r w:rsidRPr="00BC1055">
        <w:rPr>
          <w:rFonts w:ascii="Times New Roman" w:hAnsi="Times New Roman" w:cs="Times New Roman"/>
        </w:rPr>
        <w:t xml:space="preserve">, који прописује да </w:t>
      </w:r>
      <w:r>
        <w:rPr>
          <w:rFonts w:ascii="Times New Roman" w:hAnsi="Times New Roman" w:cs="Times New Roman"/>
          <w:lang w:val="sr-Cyrl-RS"/>
        </w:rPr>
        <w:t>с</w:t>
      </w:r>
      <w:r w:rsidRPr="00BC1055">
        <w:rPr>
          <w:rFonts w:ascii="Times New Roman" w:hAnsi="Times New Roman" w:cs="Times New Roman"/>
        </w:rPr>
        <w:t>топе изворних прихода, као и начин и мерила за одређивање висине локалних такси и накнада утврђује скупштина јединице локалне самоуправе својом одлуком, у складу са законом</w:t>
      </w:r>
      <w:r>
        <w:rPr>
          <w:rFonts w:ascii="Times New Roman" w:hAnsi="Times New Roman" w:cs="Times New Roman"/>
          <w:lang w:val="sr-Cyrl-RS"/>
        </w:rPr>
        <w:t>, да о</w:t>
      </w:r>
      <w:r w:rsidRPr="00BC1055">
        <w:rPr>
          <w:rFonts w:ascii="Times New Roman" w:hAnsi="Times New Roman" w:cs="Times New Roman"/>
        </w:rPr>
        <w:t>длук</w:t>
      </w:r>
      <w:r>
        <w:rPr>
          <w:rFonts w:ascii="Times New Roman" w:hAnsi="Times New Roman" w:cs="Times New Roman"/>
          <w:lang w:val="sr-Cyrl-RS"/>
        </w:rPr>
        <w:t>у</w:t>
      </w:r>
      <w:r w:rsidRPr="00BC1055">
        <w:rPr>
          <w:rFonts w:ascii="Times New Roman" w:hAnsi="Times New Roman" w:cs="Times New Roman"/>
        </w:rPr>
        <w:t xml:space="preserve"> доноси након одржавања јавне расправе, а може </w:t>
      </w:r>
      <w:r>
        <w:rPr>
          <w:rFonts w:ascii="Times New Roman" w:hAnsi="Times New Roman" w:cs="Times New Roman"/>
          <w:lang w:val="sr-Cyrl-RS"/>
        </w:rPr>
        <w:t>је</w:t>
      </w:r>
      <w:r w:rsidRPr="00BC1055">
        <w:rPr>
          <w:rFonts w:ascii="Times New Roman" w:hAnsi="Times New Roman" w:cs="Times New Roman"/>
        </w:rPr>
        <w:t xml:space="preserve"> мењати највише једанпут годишње, и то у поступку утврђивања буџета јединице локалне самоуправе за наредну годину.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C1055">
        <w:rPr>
          <w:rFonts w:ascii="Times New Roman" w:hAnsi="Times New Roman" w:cs="Times New Roman"/>
        </w:rPr>
        <w:t>Локалне комуналне таксе се усклађују са годишњим индексом потрошачких цена које објав</w:t>
      </w:r>
      <w:r>
        <w:rPr>
          <w:rFonts w:ascii="Times New Roman" w:hAnsi="Times New Roman" w:cs="Times New Roman"/>
          <w:lang w:val="sr-Cyrl-RS"/>
        </w:rPr>
        <w:t xml:space="preserve">љује </w:t>
      </w:r>
      <w:r w:rsidRPr="00BC1055">
        <w:rPr>
          <w:rFonts w:ascii="Times New Roman" w:hAnsi="Times New Roman" w:cs="Times New Roman"/>
        </w:rPr>
        <w:t xml:space="preserve">Републички завод за статистику за период од 1. </w:t>
      </w:r>
      <w:r>
        <w:rPr>
          <w:rFonts w:ascii="Times New Roman" w:hAnsi="Times New Roman" w:cs="Times New Roman"/>
          <w:lang w:val="sr-Cyrl-RS"/>
        </w:rPr>
        <w:t>о</w:t>
      </w:r>
      <w:r w:rsidRPr="00BC1055">
        <w:rPr>
          <w:rFonts w:ascii="Times New Roman" w:hAnsi="Times New Roman" w:cs="Times New Roman"/>
        </w:rPr>
        <w:t xml:space="preserve">ктобра </w:t>
      </w:r>
      <w:r>
        <w:rPr>
          <w:rFonts w:ascii="Times New Roman" w:hAnsi="Times New Roman" w:cs="Times New Roman"/>
          <w:lang w:val="sr-Cyrl-RS"/>
        </w:rPr>
        <w:t xml:space="preserve">текуће године, </w:t>
      </w:r>
      <w:r w:rsidRPr="00BC1055">
        <w:rPr>
          <w:rFonts w:ascii="Times New Roman" w:hAnsi="Times New Roman" w:cs="Times New Roman"/>
        </w:rPr>
        <w:t xml:space="preserve">до 30. </w:t>
      </w:r>
      <w:proofErr w:type="gramStart"/>
      <w:r w:rsidRPr="00BC1055">
        <w:rPr>
          <w:rFonts w:ascii="Times New Roman" w:hAnsi="Times New Roman" w:cs="Times New Roman"/>
        </w:rPr>
        <w:t>септембра</w:t>
      </w:r>
      <w:proofErr w:type="gramEnd"/>
      <w:r w:rsidRPr="00BC1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наредне године</w:t>
      </w:r>
      <w:r w:rsidRPr="00BC1055">
        <w:rPr>
          <w:rFonts w:ascii="Times New Roman" w:hAnsi="Times New Roman" w:cs="Times New Roman"/>
        </w:rPr>
        <w:t xml:space="preserve"> и у складу са Усклађеним највишим износима  локалне комуналне таксе за држање моторних друмских и прикључних возила, осим пољопривредних возила и машиина,  које објав</w:t>
      </w:r>
      <w:r>
        <w:rPr>
          <w:rFonts w:ascii="Times New Roman" w:hAnsi="Times New Roman" w:cs="Times New Roman"/>
          <w:lang w:val="sr-Cyrl-RS"/>
        </w:rPr>
        <w:t>љује</w:t>
      </w:r>
      <w:r w:rsidRPr="00BC1055">
        <w:rPr>
          <w:rFonts w:ascii="Times New Roman" w:hAnsi="Times New Roman" w:cs="Times New Roman"/>
        </w:rPr>
        <w:t xml:space="preserve">  Влада Републике Србије </w:t>
      </w:r>
      <w:r>
        <w:rPr>
          <w:rFonts w:ascii="Times New Roman" w:hAnsi="Times New Roman" w:cs="Times New Roman"/>
          <w:lang w:val="sr-Cyrl-RS"/>
        </w:rPr>
        <w:t>за наведени временски период.</w:t>
      </w:r>
    </w:p>
    <w:p w:rsidR="00C55897" w:rsidRDefault="00C55897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члану 15. </w:t>
      </w:r>
      <w:r w:rsidRPr="00C55897">
        <w:rPr>
          <w:rFonts w:ascii="Times New Roman" w:hAnsi="Times New Roman" w:cs="Times New Roman"/>
          <w:lang w:val="sr-Cyrl-RS"/>
        </w:rPr>
        <w:t>Закона о финансирању локалне самоуправе ("Сл. гласник РС", бр. 62/2006, 47/2011, 93/2012, 99/2013 - усклађени дин. изн., 125/2014 - усклађени дин. изн. и 95/2015 - усклађени дин. изн. 104/2016 - усклађени дин. изн. 96/2017- усклађени дин. изн. 89/2018 - усклађени дин. изн. и  95/2018 - др. закон)</w:t>
      </w:r>
      <w:r>
        <w:rPr>
          <w:rFonts w:ascii="Times New Roman" w:hAnsi="Times New Roman" w:cs="Times New Roman"/>
          <w:lang w:val="sr-Cyrl-RS"/>
        </w:rPr>
        <w:t>, прописано је да се локалне комуналне таксе могу уводити за:</w:t>
      </w:r>
    </w:p>
    <w:p w:rsidR="00C55897" w:rsidRDefault="00C55897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55897" w:rsidRDefault="00C55897" w:rsidP="00C558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истицање фирме на пословном простору,</w:t>
      </w:r>
    </w:p>
    <w:p w:rsidR="00C55897" w:rsidRDefault="00C55897" w:rsidP="00C558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држање моторних, друмских и прикључних возила, осим пољопривредних возила и машина и</w:t>
      </w:r>
    </w:p>
    <w:p w:rsidR="00C55897" w:rsidRDefault="00C55897" w:rsidP="00C558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Pr="00C55897">
        <w:rPr>
          <w:rFonts w:ascii="Times New Roman" w:hAnsi="Times New Roman" w:cs="Times New Roman"/>
          <w:lang w:val="sr-Cyrl-RS"/>
        </w:rPr>
        <w:t>ржање средстава за игру (забавне игре)</w:t>
      </w:r>
      <w:r>
        <w:rPr>
          <w:rFonts w:ascii="Times New Roman" w:hAnsi="Times New Roman" w:cs="Times New Roman"/>
          <w:lang w:val="sr-Cyrl-RS"/>
        </w:rPr>
        <w:t>.</w:t>
      </w:r>
    </w:p>
    <w:p w:rsidR="00C55897" w:rsidRPr="00C55897" w:rsidRDefault="00C55897" w:rsidP="00C55897">
      <w:pPr>
        <w:pStyle w:val="ListParagraph"/>
        <w:spacing w:after="0"/>
        <w:ind w:left="1080"/>
        <w:jc w:val="both"/>
        <w:rPr>
          <w:rFonts w:ascii="Times New Roman" w:hAnsi="Times New Roman" w:cs="Times New Roman"/>
          <w:lang w:val="sr-Cyrl-RS"/>
        </w:rPr>
      </w:pPr>
    </w:p>
    <w:p w:rsidR="00AA6BA5" w:rsidRDefault="00AA6BA5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Ступањем на снагу ове одлуке, престаје да важи </w:t>
      </w:r>
      <w:r w:rsidRPr="00E24CC4">
        <w:rPr>
          <w:rFonts w:ascii="Times New Roman" w:hAnsi="Times New Roman" w:cs="Times New Roman"/>
          <w:lang w:val="sr-Cyrl-RS"/>
        </w:rPr>
        <w:t>Одлука о локалним комуналним таксама ("Службени .лист општине Оџаци", бр.16/2012,  17/2013,  4/2014, 23/14, и 20/15)</w:t>
      </w:r>
      <w:r>
        <w:rPr>
          <w:rFonts w:ascii="Times New Roman" w:hAnsi="Times New Roman" w:cs="Times New Roman"/>
          <w:lang w:val="sr-Cyrl-RS"/>
        </w:rPr>
        <w:t>.</w:t>
      </w:r>
    </w:p>
    <w:p w:rsidR="00C55897" w:rsidRDefault="00C55897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A6BA5" w:rsidRPr="00BC1055" w:rsidRDefault="00AA6BA5" w:rsidP="00AA6BA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9E196E">
        <w:rPr>
          <w:rFonts w:ascii="Times New Roman" w:hAnsi="Times New Roman" w:cs="Times New Roman"/>
          <w:lang w:val="sr-Cyrl-RS"/>
        </w:rPr>
        <w:t>Средства за спровођење</w:t>
      </w:r>
      <w:r>
        <w:rPr>
          <w:rFonts w:ascii="Times New Roman" w:hAnsi="Times New Roman" w:cs="Times New Roman"/>
          <w:lang w:val="sr-Cyrl-RS"/>
        </w:rPr>
        <w:t xml:space="preserve"> ове одлуке нису потребна</w:t>
      </w:r>
    </w:p>
    <w:p w:rsidR="00AA6BA5" w:rsidRPr="00330956" w:rsidRDefault="00AA6BA5" w:rsidP="00AA6BA5">
      <w:pPr>
        <w:spacing w:after="0"/>
        <w:jc w:val="both"/>
        <w:rPr>
          <w:rFonts w:ascii="Times New Roman" w:hAnsi="Times New Roman" w:cs="Times New Roman"/>
        </w:rPr>
      </w:pPr>
    </w:p>
    <w:p w:rsidR="00CC5D96" w:rsidRDefault="00CC5D96"/>
    <w:sectPr w:rsidR="00CC5D96" w:rsidSect="0096529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B35"/>
    <w:multiLevelType w:val="hybridMultilevel"/>
    <w:tmpl w:val="CCCA0F8E"/>
    <w:lvl w:ilvl="0" w:tplc="748A49C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5"/>
    <w:rsid w:val="000C29BA"/>
    <w:rsid w:val="00176755"/>
    <w:rsid w:val="00264585"/>
    <w:rsid w:val="003F187F"/>
    <w:rsid w:val="006544A6"/>
    <w:rsid w:val="00717B3D"/>
    <w:rsid w:val="007331E5"/>
    <w:rsid w:val="007B2F44"/>
    <w:rsid w:val="00961D72"/>
    <w:rsid w:val="0096529D"/>
    <w:rsid w:val="009D0175"/>
    <w:rsid w:val="009E196E"/>
    <w:rsid w:val="00A51000"/>
    <w:rsid w:val="00A948AF"/>
    <w:rsid w:val="00AA6BA5"/>
    <w:rsid w:val="00C55897"/>
    <w:rsid w:val="00C75839"/>
    <w:rsid w:val="00CC5D96"/>
    <w:rsid w:val="00D37192"/>
    <w:rsid w:val="00D91C2B"/>
    <w:rsid w:val="00DA310F"/>
    <w:rsid w:val="00EF401C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424D-2754-4AE3-80B4-58B1501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2019-12-04T08:18:00Z</cp:lastPrinted>
  <dcterms:created xsi:type="dcterms:W3CDTF">2019-12-04T07:04:00Z</dcterms:created>
  <dcterms:modified xsi:type="dcterms:W3CDTF">2019-12-04T08:23:00Z</dcterms:modified>
</cp:coreProperties>
</file>