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127E52">
        <w:rPr>
          <w:b/>
          <w:sz w:val="24"/>
          <w:szCs w:val="24"/>
        </w:rPr>
        <w:t>17900</w:t>
      </w:r>
      <w:r w:rsidR="002125A0" w:rsidRPr="009E0854">
        <w:rPr>
          <w:b/>
          <w:sz w:val="24"/>
          <w:szCs w:val="24"/>
        </w:rPr>
        <w:t>-IUP-</w:t>
      </w:r>
      <w:r w:rsidR="00127E52">
        <w:rPr>
          <w:b/>
          <w:sz w:val="24"/>
          <w:szCs w:val="24"/>
        </w:rPr>
        <w:t>3</w:t>
      </w:r>
      <w:r w:rsidR="00CC4C1D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127E52">
        <w:rPr>
          <w:b/>
          <w:sz w:val="24"/>
          <w:szCs w:val="24"/>
        </w:rPr>
        <w:t>467</w:t>
      </w:r>
      <w:r w:rsidR="00CC4C1D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A36E1F">
        <w:rPr>
          <w:sz w:val="24"/>
          <w:szCs w:val="24"/>
        </w:rPr>
        <w:t>29</w:t>
      </w:r>
      <w:r w:rsidR="00127E52">
        <w:rPr>
          <w:sz w:val="24"/>
          <w:szCs w:val="24"/>
        </w:rPr>
        <w:t>.03</w:t>
      </w:r>
      <w:r w:rsidR="00303542">
        <w:rPr>
          <w:sz w:val="24"/>
          <w:szCs w:val="24"/>
        </w:rPr>
        <w:t>.</w:t>
      </w:r>
      <w:r w:rsidR="00A36E1F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A36E1F">
        <w:rPr>
          <w:color w:val="000000"/>
          <w:sz w:val="24"/>
          <w:szCs w:val="24"/>
        </w:rPr>
        <w:t>„Max power SPI” доо</w:t>
      </w:r>
      <w:r w:rsidR="00A36E1F" w:rsidRPr="00127E52">
        <w:rPr>
          <w:color w:val="000000"/>
          <w:sz w:val="24"/>
          <w:szCs w:val="24"/>
        </w:rPr>
        <w:t>,</w:t>
      </w:r>
      <w:r w:rsidR="00A36E1F">
        <w:rPr>
          <w:color w:val="000000"/>
          <w:sz w:val="24"/>
          <w:szCs w:val="24"/>
        </w:rPr>
        <w:t xml:space="preserve"> Оџаци,</w:t>
      </w:r>
      <w:r w:rsidR="00A36E1F" w:rsidRPr="00127E52">
        <w:rPr>
          <w:color w:val="000000"/>
          <w:sz w:val="24"/>
          <w:szCs w:val="24"/>
        </w:rPr>
        <w:t xml:space="preserve"> улица </w:t>
      </w:r>
      <w:r w:rsidR="00A36E1F">
        <w:rPr>
          <w:color w:val="000000"/>
          <w:sz w:val="24"/>
          <w:szCs w:val="24"/>
        </w:rPr>
        <w:t>Лоле Рибара</w:t>
      </w:r>
      <w:r w:rsidR="00A36E1F" w:rsidRPr="00127E52">
        <w:rPr>
          <w:color w:val="000000"/>
          <w:sz w:val="24"/>
          <w:szCs w:val="24"/>
        </w:rPr>
        <w:t xml:space="preserve"> </w:t>
      </w:r>
      <w:r w:rsidR="00A36E1F">
        <w:rPr>
          <w:color w:val="000000"/>
          <w:sz w:val="24"/>
          <w:szCs w:val="24"/>
        </w:rPr>
        <w:t>40</w:t>
      </w:r>
      <w:r w:rsidRPr="00127E52">
        <w:rPr>
          <w:color w:val="000000"/>
          <w:sz w:val="24"/>
          <w:szCs w:val="24"/>
        </w:rPr>
        <w:t>, за издавање употребне</w:t>
      </w:r>
      <w:r w:rsidRPr="00CC4C1D">
        <w:rPr>
          <w:color w:val="000000"/>
          <w:sz w:val="24"/>
          <w:szCs w:val="24"/>
        </w:rPr>
        <w:t xml:space="preserve"> дозволе, на основу члана 158. Закона о план</w:t>
      </w:r>
      <w:r w:rsidR="006F145B" w:rsidRPr="00CC4C1D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CC4C1D" w:rsidRPr="00DB22B1">
        <w:rPr>
          <w:sz w:val="24"/>
          <w:szCs w:val="24"/>
        </w:rPr>
        <w:t>(„Сл.гласник РС“,</w:t>
      </w:r>
      <w:r w:rsidR="00CC4C1D" w:rsidRPr="00DB22B1">
        <w:rPr>
          <w:color w:val="000000"/>
          <w:sz w:val="24"/>
          <w:szCs w:val="24"/>
        </w:rPr>
        <w:t>број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CC4C1D">
        <w:rPr>
          <w:color w:val="000000"/>
          <w:sz w:val="24"/>
          <w:szCs w:val="24"/>
        </w:rPr>
        <w:t>, 83/18, 31/19 и 37/19 др закон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36E1F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>,</w:t>
      </w:r>
      <w:r w:rsidR="0025194E" w:rsidRPr="00127E52">
        <w:rPr>
          <w:b/>
          <w:color w:val="000000"/>
          <w:sz w:val="24"/>
          <w:szCs w:val="24"/>
        </w:rPr>
        <w:t xml:space="preserve"> </w:t>
      </w:r>
      <w:r w:rsidR="00157D12" w:rsidRPr="007360F0">
        <w:rPr>
          <w:rFonts w:eastAsia="Times New Roman"/>
          <w:b/>
          <w:sz w:val="24"/>
          <w:szCs w:val="24"/>
        </w:rPr>
        <w:t>„Епс дистрибуција“</w:t>
      </w:r>
      <w:r w:rsidR="00157D12">
        <w:rPr>
          <w:rFonts w:eastAsia="Times New Roman"/>
          <w:sz w:val="24"/>
          <w:szCs w:val="24"/>
        </w:rPr>
        <w:t xml:space="preserve"> доо Београд</w:t>
      </w:r>
      <w:r w:rsidR="00157D12">
        <w:rPr>
          <w:sz w:val="24"/>
          <w:szCs w:val="24"/>
        </w:rPr>
        <w:t>, огранак Електродистрибуција Сомбор</w:t>
      </w:r>
      <w:r w:rsidR="00395534" w:rsidRPr="00127E52">
        <w:rPr>
          <w:color w:val="000000"/>
          <w:sz w:val="24"/>
          <w:szCs w:val="24"/>
        </w:rPr>
        <w:t>,</w:t>
      </w:r>
      <w:r w:rsidR="007945DE" w:rsidRPr="00127E52">
        <w:rPr>
          <w:color w:val="000000"/>
          <w:sz w:val="24"/>
          <w:szCs w:val="24"/>
        </w:rPr>
        <w:t xml:space="preserve"> </w:t>
      </w:r>
      <w:r w:rsidRPr="00157D12">
        <w:rPr>
          <w:sz w:val="24"/>
          <w:szCs w:val="24"/>
        </w:rPr>
        <w:t>дозвола за употребу</w:t>
      </w:r>
      <w:r w:rsidR="00127E52" w:rsidRPr="00157D12">
        <w:rPr>
          <w:sz w:val="24"/>
          <w:szCs w:val="24"/>
        </w:rPr>
        <w:t xml:space="preserve"> </w:t>
      </w:r>
      <w:r w:rsidR="00157D12" w:rsidRPr="007705E8">
        <w:rPr>
          <w:sz w:val="24"/>
          <w:szCs w:val="24"/>
        </w:rPr>
        <w:t xml:space="preserve">СН постројења </w:t>
      </w:r>
      <w:r w:rsidR="00A36E1F" w:rsidRPr="00157D12">
        <w:rPr>
          <w:sz w:val="24"/>
          <w:szCs w:val="24"/>
        </w:rPr>
        <w:t>реконструисаног</w:t>
      </w:r>
      <w:r w:rsidR="00A36E1F" w:rsidRPr="007705E8">
        <w:rPr>
          <w:sz w:val="24"/>
          <w:szCs w:val="24"/>
        </w:rPr>
        <w:t xml:space="preserve"> </w:t>
      </w:r>
      <w:r w:rsidR="00157D12" w:rsidRPr="007705E8">
        <w:rPr>
          <w:sz w:val="24"/>
          <w:szCs w:val="24"/>
        </w:rPr>
        <w:t>у МБТС „Мотвоз“ 2х1000 kVA</w:t>
      </w:r>
      <w:r w:rsidR="00A36E1F" w:rsidRPr="00A36E1F">
        <w:rPr>
          <w:sz w:val="24"/>
          <w:szCs w:val="24"/>
        </w:rPr>
        <w:t xml:space="preserve"> </w:t>
      </w:r>
      <w:r w:rsidR="00157D12">
        <w:rPr>
          <w:sz w:val="24"/>
          <w:szCs w:val="24"/>
        </w:rPr>
        <w:t>у циљу раздвајања ел.</w:t>
      </w:r>
      <w:r w:rsidR="00157D12" w:rsidRPr="007705E8">
        <w:rPr>
          <w:sz w:val="24"/>
          <w:szCs w:val="24"/>
        </w:rPr>
        <w:t xml:space="preserve"> мерења на средњем напону у пословном објекту на</w:t>
      </w:r>
      <w:r w:rsidR="00157D12">
        <w:rPr>
          <w:sz w:val="24"/>
          <w:szCs w:val="24"/>
        </w:rPr>
        <w:t xml:space="preserve"> кат.парцели број </w:t>
      </w:r>
      <w:r w:rsidR="00157D12" w:rsidRPr="00A36E1F">
        <w:rPr>
          <w:b/>
          <w:sz w:val="24"/>
          <w:szCs w:val="24"/>
        </w:rPr>
        <w:t>405/5 к.о. Оџаци</w:t>
      </w:r>
      <w:r w:rsidR="00AE753D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127E52">
        <w:rPr>
          <w:b/>
          <w:sz w:val="24"/>
          <w:szCs w:val="24"/>
        </w:rPr>
        <w:t>број 2</w:t>
      </w:r>
      <w:r w:rsidR="00C90E7E">
        <w:rPr>
          <w:b/>
          <w:sz w:val="24"/>
          <w:szCs w:val="24"/>
        </w:rPr>
        <w:t xml:space="preserve"> износи </w:t>
      </w:r>
      <w:r w:rsidR="00127E52">
        <w:rPr>
          <w:b/>
          <w:sz w:val="24"/>
          <w:szCs w:val="24"/>
        </w:rPr>
        <w:t>24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127E52">
        <w:rPr>
          <w:sz w:val="24"/>
          <w:szCs w:val="24"/>
        </w:rPr>
        <w:t>одобрењу извођења радова</w:t>
      </w:r>
      <w:r w:rsidRPr="009E0854">
        <w:rPr>
          <w:sz w:val="24"/>
          <w:szCs w:val="24"/>
        </w:rPr>
        <w:t xml:space="preserve"> број</w:t>
      </w:r>
      <w:r w:rsidR="00FD1836">
        <w:rPr>
          <w:sz w:val="24"/>
          <w:szCs w:val="24"/>
        </w:rPr>
        <w:t>:</w:t>
      </w:r>
      <w:r w:rsidRPr="009E0854">
        <w:rPr>
          <w:sz w:val="24"/>
          <w:szCs w:val="24"/>
        </w:rPr>
        <w:t xml:space="preserve"> </w:t>
      </w:r>
      <w:r w:rsidR="009B0E02">
        <w:rPr>
          <w:sz w:val="24"/>
          <w:szCs w:val="24"/>
        </w:rPr>
        <w:t>ROP-ODZ-</w:t>
      </w:r>
      <w:r w:rsidR="00127E52">
        <w:rPr>
          <w:sz w:val="24"/>
          <w:szCs w:val="24"/>
        </w:rPr>
        <w:t>17900</w:t>
      </w:r>
      <w:r w:rsidR="00CC4C1D">
        <w:rPr>
          <w:sz w:val="24"/>
          <w:szCs w:val="24"/>
        </w:rPr>
        <w:t>-</w:t>
      </w:r>
      <w:r w:rsidR="00127E52">
        <w:rPr>
          <w:sz w:val="24"/>
          <w:szCs w:val="24"/>
        </w:rPr>
        <w:t>ISAW</w:t>
      </w:r>
      <w:r w:rsidR="00437F33">
        <w:rPr>
          <w:sz w:val="24"/>
          <w:szCs w:val="24"/>
        </w:rPr>
        <w:t>-2</w:t>
      </w:r>
      <w:r w:rsidR="00127E52">
        <w:rPr>
          <w:sz w:val="24"/>
          <w:szCs w:val="24"/>
        </w:rPr>
        <w:t>/2020 од 21.07.2020</w:t>
      </w:r>
      <w:r w:rsidR="00395EA8">
        <w:rPr>
          <w:sz w:val="24"/>
          <w:szCs w:val="24"/>
        </w:rPr>
        <w:t>. године</w:t>
      </w:r>
      <w:r w:rsidR="00CC4C1D">
        <w:rPr>
          <w:sz w:val="24"/>
          <w:szCs w:val="24"/>
        </w:rPr>
        <w:t>.</w:t>
      </w:r>
    </w:p>
    <w:p w:rsidR="00A36E1F" w:rsidRPr="00CC4C1D" w:rsidRDefault="00A36E1F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822899">
        <w:rPr>
          <w:sz w:val="24"/>
          <w:szCs w:val="24"/>
        </w:rPr>
        <w:t xml:space="preserve"> </w:t>
      </w:r>
      <w:r w:rsidR="007E0559">
        <w:rPr>
          <w:sz w:val="24"/>
          <w:szCs w:val="24"/>
        </w:rPr>
        <w:t>од 15.11</w:t>
      </w:r>
      <w:r w:rsidR="00AE753D">
        <w:rPr>
          <w:sz w:val="24"/>
          <w:szCs w:val="24"/>
        </w:rPr>
        <w:t>.2020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Комисије </w:t>
      </w:r>
      <w:r w:rsidR="007E0559">
        <w:rPr>
          <w:sz w:val="24"/>
          <w:szCs w:val="24"/>
        </w:rPr>
        <w:t>Слободан Томчић</w:t>
      </w:r>
      <w:r w:rsidR="006675A8">
        <w:rPr>
          <w:sz w:val="24"/>
          <w:szCs w:val="24"/>
        </w:rPr>
        <w:t>,</w:t>
      </w:r>
      <w:r w:rsidR="009B0E02">
        <w:rPr>
          <w:sz w:val="24"/>
          <w:szCs w:val="24"/>
        </w:rPr>
        <w:t xml:space="preserve"> дипл.инж.грађ. лиценца број </w:t>
      </w:r>
      <w:r w:rsidR="007E0559">
        <w:rPr>
          <w:sz w:val="24"/>
          <w:szCs w:val="24"/>
        </w:rPr>
        <w:t>311</w:t>
      </w:r>
      <w:r w:rsidR="009B0E02">
        <w:rPr>
          <w:sz w:val="24"/>
          <w:szCs w:val="24"/>
        </w:rPr>
        <w:t xml:space="preserve"> </w:t>
      </w:r>
      <w:r w:rsidR="007E0559">
        <w:rPr>
          <w:sz w:val="24"/>
          <w:szCs w:val="24"/>
        </w:rPr>
        <w:t>2399</w:t>
      </w:r>
      <w:r w:rsidR="00AE753D">
        <w:rPr>
          <w:sz w:val="24"/>
          <w:szCs w:val="24"/>
        </w:rPr>
        <w:t xml:space="preserve"> 03</w:t>
      </w:r>
      <w:r w:rsidR="006675A8">
        <w:rPr>
          <w:sz w:val="24"/>
          <w:szCs w:val="24"/>
        </w:rPr>
        <w:t xml:space="preserve"> и члан Комисије </w:t>
      </w:r>
      <w:r w:rsidR="007E0559">
        <w:rPr>
          <w:sz w:val="24"/>
          <w:szCs w:val="24"/>
        </w:rPr>
        <w:t>Марко Ђукановић</w:t>
      </w:r>
      <w:r w:rsidR="006675A8">
        <w:rPr>
          <w:sz w:val="24"/>
          <w:szCs w:val="24"/>
        </w:rPr>
        <w:t>, дип</w:t>
      </w:r>
      <w:r w:rsidR="009B0E02">
        <w:rPr>
          <w:sz w:val="24"/>
          <w:szCs w:val="24"/>
        </w:rPr>
        <w:t xml:space="preserve">л.инж.ел., лиценца број </w:t>
      </w:r>
      <w:r w:rsidR="007E0559">
        <w:rPr>
          <w:sz w:val="24"/>
          <w:szCs w:val="24"/>
        </w:rPr>
        <w:t>3</w:t>
      </w:r>
      <w:r w:rsidR="00AE753D">
        <w:rPr>
          <w:sz w:val="24"/>
          <w:szCs w:val="24"/>
        </w:rPr>
        <w:t xml:space="preserve">50 </w:t>
      </w:r>
      <w:r w:rsidR="007E0559">
        <w:rPr>
          <w:sz w:val="24"/>
          <w:szCs w:val="24"/>
        </w:rPr>
        <w:t>Г242 08</w:t>
      </w:r>
      <w:r w:rsidR="006675A8">
        <w:rPr>
          <w:sz w:val="24"/>
          <w:szCs w:val="24"/>
        </w:rPr>
        <w:t>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127E52">
        <w:rPr>
          <w:sz w:val="24"/>
          <w:szCs w:val="24"/>
        </w:rPr>
        <w:t xml:space="preserve">МБТС </w:t>
      </w:r>
      <w:r w:rsidR="0009083D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127E52">
        <w:rPr>
          <w:sz w:val="24"/>
          <w:szCs w:val="24"/>
        </w:rPr>
        <w:t>092-145015/2020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127E52">
        <w:rPr>
          <w:sz w:val="24"/>
          <w:szCs w:val="24"/>
        </w:rPr>
        <w:t>18.11.2020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5140F9" w:rsidRPr="006675A8" w:rsidRDefault="005140F9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Елаборат геод</w:t>
      </w:r>
      <w:r w:rsidR="00536872">
        <w:rPr>
          <w:sz w:val="24"/>
          <w:szCs w:val="24"/>
        </w:rPr>
        <w:t>етских рад</w:t>
      </w:r>
      <w:r w:rsidR="00303542">
        <w:rPr>
          <w:sz w:val="24"/>
          <w:szCs w:val="24"/>
        </w:rPr>
        <w:t>ова-снимање подземних инсталација</w:t>
      </w:r>
      <w:r w:rsidR="0009083D">
        <w:rPr>
          <w:sz w:val="24"/>
          <w:szCs w:val="24"/>
        </w:rPr>
        <w:t xml:space="preserve"> </w:t>
      </w:r>
      <w:r w:rsidR="00CC4C1D">
        <w:rPr>
          <w:sz w:val="24"/>
          <w:szCs w:val="24"/>
        </w:rPr>
        <w:t>од 24.04</w:t>
      </w:r>
      <w:r w:rsidR="00303542">
        <w:rPr>
          <w:sz w:val="24"/>
          <w:szCs w:val="24"/>
        </w:rPr>
        <w:t>.2019</w:t>
      </w:r>
      <w:r>
        <w:rPr>
          <w:sz w:val="24"/>
          <w:szCs w:val="24"/>
        </w:rPr>
        <w:t>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 w:rsidR="005C0942"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 w:rsidR="005C0942"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4E10C0" w:rsidRPr="00AE753D" w:rsidRDefault="004E10C0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Изјава инвеститора, стручног надзора и извођача радова да при извођењу радова није дошло до одступања </w:t>
      </w:r>
      <w:r w:rsidR="00610019">
        <w:rPr>
          <w:sz w:val="24"/>
          <w:szCs w:val="24"/>
        </w:rPr>
        <w:t>од идејног пројекта</w:t>
      </w:r>
      <w:r w:rsidR="00A36E1F">
        <w:rPr>
          <w:sz w:val="24"/>
          <w:szCs w:val="24"/>
        </w:rPr>
        <w:t>.</w:t>
      </w:r>
    </w:p>
    <w:p w:rsidR="00AE753D" w:rsidRPr="00127E52" w:rsidRDefault="00AE753D" w:rsidP="00127E52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157D12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Финансијер</w:t>
      </w:r>
      <w:r w:rsidR="00755157" w:rsidRPr="009E0854">
        <w:rPr>
          <w:color w:val="000000"/>
          <w:sz w:val="24"/>
          <w:szCs w:val="24"/>
        </w:rPr>
        <w:t xml:space="preserve"> радова, </w:t>
      </w:r>
      <w:r w:rsidR="00127E52">
        <w:rPr>
          <w:color w:val="000000"/>
          <w:sz w:val="24"/>
          <w:szCs w:val="24"/>
        </w:rPr>
        <w:t>„Max power SPI” доо</w:t>
      </w:r>
      <w:r w:rsidR="00127E52" w:rsidRPr="00127E52">
        <w:rPr>
          <w:color w:val="000000"/>
          <w:sz w:val="24"/>
          <w:szCs w:val="24"/>
        </w:rPr>
        <w:t>,</w:t>
      </w:r>
      <w:r w:rsidR="00127E52">
        <w:rPr>
          <w:color w:val="000000"/>
          <w:sz w:val="24"/>
          <w:szCs w:val="24"/>
        </w:rPr>
        <w:t xml:space="preserve"> Оџаци,</w:t>
      </w:r>
      <w:r w:rsidR="00127E52" w:rsidRPr="00127E52">
        <w:rPr>
          <w:color w:val="000000"/>
          <w:sz w:val="24"/>
          <w:szCs w:val="24"/>
        </w:rPr>
        <w:t xml:space="preserve"> улица </w:t>
      </w:r>
      <w:r w:rsidR="00127E52">
        <w:rPr>
          <w:color w:val="000000"/>
          <w:sz w:val="24"/>
          <w:szCs w:val="24"/>
        </w:rPr>
        <w:t>Лоле Рибара</w:t>
      </w:r>
      <w:r w:rsidR="00127E52" w:rsidRPr="00127E52">
        <w:rPr>
          <w:color w:val="000000"/>
          <w:sz w:val="24"/>
          <w:szCs w:val="24"/>
        </w:rPr>
        <w:t xml:space="preserve"> </w:t>
      </w:r>
      <w:r w:rsidR="00127E52">
        <w:rPr>
          <w:color w:val="000000"/>
          <w:sz w:val="24"/>
          <w:szCs w:val="24"/>
        </w:rPr>
        <w:t>40</w:t>
      </w:r>
      <w:r w:rsidR="00CC4C1D" w:rsidRPr="00127E52">
        <w:rPr>
          <w:color w:val="000000"/>
          <w:sz w:val="24"/>
          <w:szCs w:val="24"/>
        </w:rPr>
        <w:t xml:space="preserve">, </w:t>
      </w:r>
      <w:r w:rsidR="005D1D1F" w:rsidRPr="00127E52">
        <w:rPr>
          <w:color w:val="000000"/>
          <w:sz w:val="24"/>
          <w:szCs w:val="24"/>
        </w:rPr>
        <w:t xml:space="preserve">преко пуномоћника, </w:t>
      </w:r>
      <w:r>
        <w:rPr>
          <w:color w:val="000000"/>
          <w:sz w:val="24"/>
          <w:szCs w:val="24"/>
        </w:rPr>
        <w:t>Томчић Слободана</w:t>
      </w:r>
      <w:r w:rsidR="00FD1836" w:rsidRPr="00127E52">
        <w:rPr>
          <w:color w:val="000000"/>
          <w:sz w:val="24"/>
          <w:szCs w:val="24"/>
        </w:rPr>
        <w:t xml:space="preserve"> из Оџака</w:t>
      </w:r>
      <w:r w:rsidR="005D1D1F" w:rsidRPr="00127E52">
        <w:rPr>
          <w:color w:val="000000"/>
          <w:sz w:val="24"/>
          <w:szCs w:val="24"/>
        </w:rPr>
        <w:t>,</w:t>
      </w:r>
      <w:r w:rsidR="00CC4C1D" w:rsidRPr="00127E52">
        <w:rPr>
          <w:color w:val="000000"/>
          <w:sz w:val="24"/>
          <w:szCs w:val="24"/>
        </w:rPr>
        <w:t xml:space="preserve"> поднели су</w:t>
      </w:r>
      <w:r w:rsidR="000617E8" w:rsidRPr="00127E52">
        <w:rPr>
          <w:color w:val="000000"/>
          <w:sz w:val="24"/>
          <w:szCs w:val="24"/>
        </w:rPr>
        <w:t xml:space="preserve"> овом Одељењу</w:t>
      </w:r>
      <w:r w:rsidR="00633C99" w:rsidRPr="00127E52">
        <w:rPr>
          <w:color w:val="000000"/>
          <w:sz w:val="24"/>
          <w:szCs w:val="24"/>
        </w:rPr>
        <w:t>,</w:t>
      </w:r>
      <w:r w:rsidR="00A811CF" w:rsidRPr="00127E52">
        <w:rPr>
          <w:color w:val="000000"/>
          <w:sz w:val="24"/>
          <w:szCs w:val="24"/>
        </w:rPr>
        <w:t xml:space="preserve"> </w:t>
      </w:r>
      <w:r w:rsidR="00633C99" w:rsidRPr="00127E52">
        <w:rPr>
          <w:color w:val="000000"/>
          <w:sz w:val="24"/>
          <w:szCs w:val="24"/>
        </w:rPr>
        <w:t>преко централне</w:t>
      </w:r>
      <w:r w:rsidR="00633C99" w:rsidRPr="004838E4">
        <w:rPr>
          <w:color w:val="000000"/>
          <w:sz w:val="24"/>
          <w:szCs w:val="24"/>
        </w:rPr>
        <w:t xml:space="preserve"> евиденције обједињене процедуре електронским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F51C3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</w:t>
      </w:r>
      <w:r w:rsidR="00AE753D">
        <w:rPr>
          <w:sz w:val="24"/>
          <w:szCs w:val="24"/>
        </w:rPr>
        <w:t xml:space="preserve">од </w:t>
      </w:r>
      <w:r w:rsidR="007E0559">
        <w:rPr>
          <w:sz w:val="24"/>
          <w:szCs w:val="24"/>
        </w:rPr>
        <w:t>15.11.2020. године</w:t>
      </w:r>
      <w:r w:rsidR="007E0559" w:rsidRPr="00F51C38">
        <w:rPr>
          <w:sz w:val="24"/>
          <w:szCs w:val="24"/>
        </w:rPr>
        <w:t xml:space="preserve"> са </w:t>
      </w:r>
      <w:r w:rsidR="007E0559">
        <w:rPr>
          <w:sz w:val="24"/>
          <w:szCs w:val="24"/>
        </w:rPr>
        <w:t>предлогом за издавање употребне дозволе, председник Комисије Слободан Томчић, дипл.инж.грађ. лиценца број 311 2399 03 и члан Комисије Марко Ђукановић, дипл.инж.ел., лиценца број 350 Г242 08</w:t>
      </w:r>
      <w:r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="00127E52" w:rsidRPr="00127E52">
        <w:rPr>
          <w:sz w:val="24"/>
          <w:szCs w:val="24"/>
        </w:rPr>
        <w:t xml:space="preserve"> </w:t>
      </w:r>
      <w:r w:rsidR="00127E52">
        <w:rPr>
          <w:sz w:val="24"/>
          <w:szCs w:val="24"/>
        </w:rPr>
        <w:t xml:space="preserve">снимање МБТС  </w:t>
      </w:r>
      <w:r w:rsidR="00127E52" w:rsidRPr="00F51C38">
        <w:rPr>
          <w:sz w:val="24"/>
          <w:szCs w:val="24"/>
        </w:rPr>
        <w:t>број 952-</w:t>
      </w:r>
      <w:r w:rsidR="00127E52">
        <w:rPr>
          <w:sz w:val="24"/>
          <w:szCs w:val="24"/>
        </w:rPr>
        <w:t xml:space="preserve">092-145015/2020 </w:t>
      </w:r>
      <w:r w:rsidR="00127E52" w:rsidRPr="00F51C38">
        <w:rPr>
          <w:sz w:val="24"/>
          <w:szCs w:val="24"/>
        </w:rPr>
        <w:t xml:space="preserve">од </w:t>
      </w:r>
      <w:r w:rsidR="00127E52">
        <w:rPr>
          <w:sz w:val="24"/>
          <w:szCs w:val="24"/>
        </w:rPr>
        <w:t>18.11.2020</w:t>
      </w:r>
      <w:r w:rsidR="00127E52" w:rsidRPr="00F51C38">
        <w:rPr>
          <w:sz w:val="24"/>
          <w:szCs w:val="24"/>
        </w:rPr>
        <w:t>.</w:t>
      </w:r>
      <w:r w:rsidR="00127E52">
        <w:rPr>
          <w:sz w:val="24"/>
          <w:szCs w:val="24"/>
        </w:rPr>
        <w:t xml:space="preserve"> године израђен од стране  ГБ „ ДП Геометар</w:t>
      </w:r>
      <w:r w:rsidR="00127E52" w:rsidRPr="00F51C38">
        <w:rPr>
          <w:sz w:val="24"/>
          <w:szCs w:val="24"/>
        </w:rPr>
        <w:t xml:space="preserve">“ </w:t>
      </w:r>
      <w:r w:rsidR="00127E52">
        <w:rPr>
          <w:sz w:val="24"/>
          <w:szCs w:val="24"/>
        </w:rPr>
        <w:t>Оџаци</w:t>
      </w:r>
      <w:r w:rsidR="00127E52" w:rsidRPr="00F51C38">
        <w:rPr>
          <w:sz w:val="24"/>
          <w:szCs w:val="24"/>
        </w:rPr>
        <w:t>, ул</w:t>
      </w:r>
      <w:r w:rsidR="00127E52">
        <w:rPr>
          <w:sz w:val="24"/>
          <w:szCs w:val="24"/>
        </w:rPr>
        <w:t>. Сомборска</w:t>
      </w:r>
      <w:r w:rsidR="00127E52" w:rsidRPr="00F51C38">
        <w:rPr>
          <w:sz w:val="24"/>
          <w:szCs w:val="24"/>
        </w:rPr>
        <w:t xml:space="preserve"> бр.1</w:t>
      </w:r>
      <w:r w:rsidR="00127E5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6675A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радова-сни</w:t>
      </w:r>
      <w:r w:rsidR="00CC4C1D">
        <w:rPr>
          <w:sz w:val="24"/>
          <w:szCs w:val="24"/>
        </w:rPr>
        <w:t>мање подземних инсталација од 24.04</w:t>
      </w:r>
      <w:r>
        <w:rPr>
          <w:sz w:val="24"/>
          <w:szCs w:val="24"/>
        </w:rPr>
        <w:t>.2019.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822899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Изјава инвеститора, стручног надзора и извођача радова да при извођењу радова није дошло до </w:t>
      </w:r>
      <w:r w:rsidR="00610019">
        <w:rPr>
          <w:sz w:val="24"/>
          <w:szCs w:val="24"/>
        </w:rPr>
        <w:t>одступања од идејног пројекта</w:t>
      </w:r>
      <w:r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610019" w:rsidRPr="00387F14" w:rsidRDefault="00610019" w:rsidP="0061001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A36E1F" w:rsidRPr="009E0854" w:rsidRDefault="00A36E1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 xml:space="preserve">, 24/2011, </w:t>
      </w:r>
      <w:r w:rsidR="004838E4" w:rsidRPr="00DD65CB">
        <w:rPr>
          <w:color w:val="000000"/>
          <w:sz w:val="24"/>
          <w:szCs w:val="24"/>
        </w:rPr>
        <w:lastRenderedPageBreak/>
        <w:t>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FD" w:rsidRDefault="00E251FD" w:rsidP="00E653AE">
      <w:pPr>
        <w:spacing w:after="0" w:line="240" w:lineRule="auto"/>
      </w:pPr>
      <w:r>
        <w:separator/>
      </w:r>
    </w:p>
  </w:endnote>
  <w:endnote w:type="continuationSeparator" w:id="1">
    <w:p w:rsidR="00E251FD" w:rsidRDefault="00E251FD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FD" w:rsidRDefault="00E251FD" w:rsidP="00E653AE">
      <w:pPr>
        <w:spacing w:after="0" w:line="240" w:lineRule="auto"/>
      </w:pPr>
      <w:r>
        <w:separator/>
      </w:r>
    </w:p>
  </w:footnote>
  <w:footnote w:type="continuationSeparator" w:id="1">
    <w:p w:rsidR="00E251FD" w:rsidRDefault="00E251FD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71D56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27E52"/>
    <w:rsid w:val="00131F48"/>
    <w:rsid w:val="00135527"/>
    <w:rsid w:val="00135D94"/>
    <w:rsid w:val="00141DE7"/>
    <w:rsid w:val="00150755"/>
    <w:rsid w:val="00151675"/>
    <w:rsid w:val="00155A59"/>
    <w:rsid w:val="00157D12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16687"/>
    <w:rsid w:val="0022758E"/>
    <w:rsid w:val="00233A79"/>
    <w:rsid w:val="002400DE"/>
    <w:rsid w:val="0025194E"/>
    <w:rsid w:val="00256212"/>
    <w:rsid w:val="00282619"/>
    <w:rsid w:val="002842C0"/>
    <w:rsid w:val="0029385C"/>
    <w:rsid w:val="002B1D69"/>
    <w:rsid w:val="002C008F"/>
    <w:rsid w:val="002C4428"/>
    <w:rsid w:val="002E101E"/>
    <w:rsid w:val="00300AB2"/>
    <w:rsid w:val="00301EF7"/>
    <w:rsid w:val="00303542"/>
    <w:rsid w:val="0031359C"/>
    <w:rsid w:val="00314D23"/>
    <w:rsid w:val="00315FA7"/>
    <w:rsid w:val="00324D82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E7524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019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D101B"/>
    <w:rsid w:val="006E791D"/>
    <w:rsid w:val="006F0D9E"/>
    <w:rsid w:val="006F145B"/>
    <w:rsid w:val="006F2615"/>
    <w:rsid w:val="007014F8"/>
    <w:rsid w:val="0072587A"/>
    <w:rsid w:val="007360F0"/>
    <w:rsid w:val="00744F5C"/>
    <w:rsid w:val="00751D1B"/>
    <w:rsid w:val="00752C76"/>
    <w:rsid w:val="00755157"/>
    <w:rsid w:val="00761849"/>
    <w:rsid w:val="00782C99"/>
    <w:rsid w:val="007945DE"/>
    <w:rsid w:val="007962D3"/>
    <w:rsid w:val="007B5FBA"/>
    <w:rsid w:val="007B7880"/>
    <w:rsid w:val="007C527A"/>
    <w:rsid w:val="007C776C"/>
    <w:rsid w:val="007D04AA"/>
    <w:rsid w:val="007E0559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BEA"/>
    <w:rsid w:val="00943D89"/>
    <w:rsid w:val="00956F92"/>
    <w:rsid w:val="009835B8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6E1F"/>
    <w:rsid w:val="00A3750E"/>
    <w:rsid w:val="00A44F77"/>
    <w:rsid w:val="00A60322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84700"/>
    <w:rsid w:val="00BA38F2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24B8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51FD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152</cp:revision>
  <cp:lastPrinted>2021-03-29T08:45:00Z</cp:lastPrinted>
  <dcterms:created xsi:type="dcterms:W3CDTF">2016-09-28T09:37:00Z</dcterms:created>
  <dcterms:modified xsi:type="dcterms:W3CDTF">2021-03-29T08:45:00Z</dcterms:modified>
</cp:coreProperties>
</file>