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379E7">
        <w:rPr>
          <w:b/>
          <w:sz w:val="24"/>
          <w:szCs w:val="24"/>
        </w:rPr>
        <w:t>38242</w:t>
      </w:r>
      <w:r w:rsidRPr="00DD65CB">
        <w:rPr>
          <w:b/>
          <w:sz w:val="24"/>
          <w:szCs w:val="24"/>
        </w:rPr>
        <w:t>-ISAW-</w:t>
      </w:r>
      <w:r w:rsidR="00044643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379E7">
        <w:rPr>
          <w:b/>
          <w:sz w:val="24"/>
          <w:szCs w:val="24"/>
        </w:rPr>
        <w:t>351-54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73157">
        <w:rPr>
          <w:sz w:val="24"/>
          <w:szCs w:val="24"/>
        </w:rPr>
        <w:t>10</w:t>
      </w:r>
      <w:r w:rsidRPr="00DD65CB">
        <w:rPr>
          <w:sz w:val="24"/>
          <w:szCs w:val="24"/>
        </w:rPr>
        <w:t>.</w:t>
      </w:r>
      <w:r w:rsidR="00316488">
        <w:rPr>
          <w:sz w:val="24"/>
          <w:szCs w:val="24"/>
        </w:rPr>
        <w:t>02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5F39C3">
        <w:rPr>
          <w:rFonts w:eastAsia="Times New Roman"/>
          <w:sz w:val="24"/>
          <w:szCs w:val="24"/>
        </w:rPr>
        <w:t>ЈП „</w:t>
      </w:r>
      <w:proofErr w:type="spellStart"/>
      <w:r w:rsidR="005F39C3">
        <w:rPr>
          <w:rFonts w:eastAsia="Times New Roman"/>
          <w:sz w:val="24"/>
          <w:szCs w:val="24"/>
        </w:rPr>
        <w:t>Србијагас</w:t>
      </w:r>
      <w:proofErr w:type="spellEnd"/>
      <w:r w:rsidR="005F39C3">
        <w:rPr>
          <w:rFonts w:eastAsia="Times New Roman"/>
          <w:sz w:val="24"/>
          <w:szCs w:val="24"/>
        </w:rPr>
        <w:t xml:space="preserve">“ </w:t>
      </w:r>
      <w:proofErr w:type="spellStart"/>
      <w:r w:rsidR="005F39C3">
        <w:rPr>
          <w:rFonts w:eastAsia="Times New Roman"/>
          <w:sz w:val="24"/>
          <w:szCs w:val="24"/>
        </w:rPr>
        <w:t>Нови</w:t>
      </w:r>
      <w:proofErr w:type="spellEnd"/>
      <w:r w:rsidR="005F39C3">
        <w:rPr>
          <w:rFonts w:eastAsia="Times New Roman"/>
          <w:sz w:val="24"/>
          <w:szCs w:val="24"/>
        </w:rPr>
        <w:t xml:space="preserve"> </w:t>
      </w:r>
      <w:proofErr w:type="spellStart"/>
      <w:r w:rsidR="005F39C3">
        <w:rPr>
          <w:rFonts w:eastAsia="Times New Roman"/>
          <w:sz w:val="24"/>
          <w:szCs w:val="24"/>
        </w:rPr>
        <w:t>Сад</w:t>
      </w:r>
      <w:proofErr w:type="spellEnd"/>
      <w:r w:rsidRPr="0051166A">
        <w:rPr>
          <w:color w:val="000000"/>
          <w:sz w:val="24"/>
          <w:szCs w:val="24"/>
        </w:rPr>
        <w:t xml:space="preserve">, </w:t>
      </w:r>
      <w:r w:rsidR="00971306" w:rsidRPr="0051166A">
        <w:rPr>
          <w:color w:val="000000"/>
          <w:sz w:val="24"/>
          <w:szCs w:val="24"/>
        </w:rPr>
        <w:t xml:space="preserve"> </w:t>
      </w:r>
      <w:r w:rsidR="00473157">
        <w:rPr>
          <w:color w:val="000000"/>
          <w:sz w:val="24"/>
          <w:szCs w:val="24"/>
          <w:lang/>
        </w:rPr>
        <w:t xml:space="preserve">Булевар ослобођења 69, </w:t>
      </w:r>
      <w:proofErr w:type="spellStart"/>
      <w:r w:rsidRPr="0051166A">
        <w:rPr>
          <w:color w:val="000000"/>
          <w:sz w:val="24"/>
          <w:szCs w:val="24"/>
        </w:rPr>
        <w:t>за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издавање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="00A101C6" w:rsidRPr="0051166A">
        <w:rPr>
          <w:color w:val="000000"/>
          <w:sz w:val="24"/>
          <w:szCs w:val="24"/>
        </w:rPr>
        <w:t>Р</w:t>
      </w:r>
      <w:r w:rsidRPr="0051166A">
        <w:rPr>
          <w:color w:val="000000"/>
          <w:sz w:val="24"/>
          <w:szCs w:val="24"/>
        </w:rPr>
        <w:t>ешења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r w:rsidR="00E11C39" w:rsidRPr="0051166A">
        <w:rPr>
          <w:color w:val="000000"/>
          <w:sz w:val="24"/>
          <w:szCs w:val="24"/>
        </w:rPr>
        <w:t xml:space="preserve">о </w:t>
      </w:r>
      <w:proofErr w:type="spellStart"/>
      <w:r w:rsidR="00E11C39" w:rsidRPr="0051166A">
        <w:rPr>
          <w:color w:val="000000"/>
          <w:sz w:val="24"/>
          <w:szCs w:val="24"/>
        </w:rPr>
        <w:t>одобрењу</w:t>
      </w:r>
      <w:proofErr w:type="spellEnd"/>
      <w:r w:rsidR="007D2F9E" w:rsidRPr="0051166A">
        <w:rPr>
          <w:color w:val="000000"/>
          <w:sz w:val="24"/>
          <w:szCs w:val="24"/>
        </w:rPr>
        <w:t xml:space="preserve"> </w:t>
      </w:r>
      <w:proofErr w:type="spellStart"/>
      <w:r w:rsidR="00E11C39" w:rsidRPr="0051166A">
        <w:rPr>
          <w:color w:val="000000"/>
          <w:sz w:val="24"/>
          <w:szCs w:val="24"/>
        </w:rPr>
        <w:t>извођења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радова</w:t>
      </w:r>
      <w:proofErr w:type="spellEnd"/>
      <w:r w:rsidRPr="0051166A">
        <w:rPr>
          <w:color w:val="000000"/>
          <w:sz w:val="24"/>
          <w:szCs w:val="24"/>
        </w:rPr>
        <w:t xml:space="preserve">, </w:t>
      </w:r>
      <w:proofErr w:type="spellStart"/>
      <w:r w:rsidRPr="0051166A">
        <w:rPr>
          <w:color w:val="000000"/>
          <w:sz w:val="24"/>
          <w:szCs w:val="24"/>
        </w:rPr>
        <w:t>на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основу</w:t>
      </w:r>
      <w:proofErr w:type="spellEnd"/>
      <w:r w:rsidRPr="0051166A">
        <w:rPr>
          <w:color w:val="000000"/>
          <w:sz w:val="24"/>
          <w:szCs w:val="24"/>
        </w:rPr>
        <w:t xml:space="preserve"> </w:t>
      </w:r>
      <w:proofErr w:type="spellStart"/>
      <w:r w:rsidRPr="0051166A">
        <w:rPr>
          <w:color w:val="000000"/>
          <w:sz w:val="24"/>
          <w:szCs w:val="24"/>
        </w:rPr>
        <w:t>члана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r w:rsidR="00210A5D" w:rsidRPr="003B47A6">
        <w:rPr>
          <w:color w:val="000000"/>
          <w:sz w:val="24"/>
          <w:szCs w:val="24"/>
        </w:rPr>
        <w:t xml:space="preserve">8ђ., члана </w:t>
      </w:r>
      <w:r w:rsidR="007D2F9E" w:rsidRPr="003B47A6">
        <w:rPr>
          <w:color w:val="000000"/>
          <w:sz w:val="24"/>
          <w:szCs w:val="24"/>
        </w:rPr>
        <w:t xml:space="preserve">134. и члана </w:t>
      </w:r>
      <w:r w:rsidRPr="003B47A6">
        <w:rPr>
          <w:color w:val="000000"/>
          <w:sz w:val="24"/>
          <w:szCs w:val="24"/>
        </w:rPr>
        <w:t>145.</w:t>
      </w:r>
      <w:r w:rsidR="007D2F9E" w:rsidRPr="003B47A6">
        <w:rPr>
          <w:color w:val="000000"/>
          <w:sz w:val="24"/>
          <w:szCs w:val="24"/>
        </w:rPr>
        <w:t xml:space="preserve"> став 1.</w:t>
      </w:r>
      <w:r w:rsidRPr="003B47A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B47A6">
        <w:rPr>
          <w:color w:val="000000"/>
          <w:sz w:val="24"/>
          <w:szCs w:val="24"/>
        </w:rPr>
        <w:t>Закона</w:t>
      </w:r>
      <w:proofErr w:type="spellEnd"/>
      <w:r w:rsidRPr="003B47A6">
        <w:rPr>
          <w:color w:val="000000"/>
          <w:sz w:val="24"/>
          <w:szCs w:val="24"/>
        </w:rPr>
        <w:t xml:space="preserve"> о </w:t>
      </w:r>
      <w:proofErr w:type="spellStart"/>
      <w:r w:rsidRPr="003B47A6">
        <w:rPr>
          <w:color w:val="000000"/>
          <w:sz w:val="24"/>
          <w:szCs w:val="24"/>
        </w:rPr>
        <w:t>план</w:t>
      </w:r>
      <w:r w:rsidR="00B012E3" w:rsidRPr="003B47A6">
        <w:rPr>
          <w:color w:val="000000"/>
          <w:sz w:val="24"/>
          <w:szCs w:val="24"/>
        </w:rPr>
        <w:t>ирању</w:t>
      </w:r>
      <w:proofErr w:type="spellEnd"/>
      <w:r w:rsidR="00B012E3" w:rsidRPr="003B47A6">
        <w:rPr>
          <w:color w:val="000000"/>
          <w:sz w:val="24"/>
          <w:szCs w:val="24"/>
        </w:rPr>
        <w:t xml:space="preserve"> и </w:t>
      </w:r>
      <w:proofErr w:type="spellStart"/>
      <w:r w:rsidR="00B012E3" w:rsidRPr="003B47A6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2831BA" w:rsidRPr="002831BA">
        <w:rPr>
          <w:rFonts w:eastAsia="Times New Roman"/>
          <w:b/>
          <w:sz w:val="24"/>
          <w:szCs w:val="24"/>
        </w:rPr>
        <w:t>ЈП „</w:t>
      </w:r>
      <w:proofErr w:type="spellStart"/>
      <w:r w:rsidR="002831BA" w:rsidRPr="002831BA">
        <w:rPr>
          <w:rFonts w:eastAsia="Times New Roman"/>
          <w:b/>
          <w:sz w:val="24"/>
          <w:szCs w:val="24"/>
        </w:rPr>
        <w:t>Србијагас</w:t>
      </w:r>
      <w:proofErr w:type="spellEnd"/>
      <w:r w:rsidR="002831BA" w:rsidRPr="002831BA">
        <w:rPr>
          <w:rFonts w:eastAsia="Times New Roman"/>
          <w:b/>
          <w:sz w:val="24"/>
          <w:szCs w:val="24"/>
        </w:rPr>
        <w:t xml:space="preserve">“ </w:t>
      </w:r>
      <w:proofErr w:type="spellStart"/>
      <w:r w:rsidR="002831BA" w:rsidRPr="002831BA">
        <w:rPr>
          <w:rFonts w:eastAsia="Times New Roman"/>
          <w:b/>
          <w:sz w:val="24"/>
          <w:szCs w:val="24"/>
        </w:rPr>
        <w:t>Нови</w:t>
      </w:r>
      <w:proofErr w:type="spellEnd"/>
      <w:r w:rsidR="002831BA" w:rsidRPr="002831B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831BA" w:rsidRPr="002831BA">
        <w:rPr>
          <w:rFonts w:eastAsia="Times New Roman"/>
          <w:b/>
          <w:sz w:val="24"/>
          <w:szCs w:val="24"/>
        </w:rPr>
        <w:t>Сад</w:t>
      </w:r>
      <w:proofErr w:type="spellEnd"/>
      <w:r w:rsidR="00044643" w:rsidRPr="002831BA">
        <w:rPr>
          <w:b/>
          <w:color w:val="000000"/>
          <w:sz w:val="24"/>
          <w:szCs w:val="24"/>
        </w:rPr>
        <w:t>,</w:t>
      </w:r>
      <w:r w:rsidR="00044643" w:rsidRPr="0051166A">
        <w:rPr>
          <w:color w:val="000000"/>
          <w:sz w:val="24"/>
          <w:szCs w:val="24"/>
        </w:rPr>
        <w:t xml:space="preserve">  </w:t>
      </w:r>
      <w:proofErr w:type="spellStart"/>
      <w:r w:rsidR="008F2C9F" w:rsidRPr="0051166A">
        <w:rPr>
          <w:sz w:val="24"/>
          <w:szCs w:val="24"/>
        </w:rPr>
        <w:t>извођење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8F2C9F" w:rsidRPr="0051166A">
        <w:rPr>
          <w:sz w:val="24"/>
          <w:szCs w:val="24"/>
        </w:rPr>
        <w:t>радова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512223" w:rsidRPr="0051166A">
        <w:rPr>
          <w:sz w:val="24"/>
          <w:szCs w:val="24"/>
        </w:rPr>
        <w:t>на</w:t>
      </w:r>
      <w:proofErr w:type="spellEnd"/>
      <w:r w:rsidR="00512223" w:rsidRPr="0051166A">
        <w:rPr>
          <w:sz w:val="24"/>
          <w:szCs w:val="24"/>
        </w:rPr>
        <w:t xml:space="preserve"> </w:t>
      </w:r>
      <w:proofErr w:type="spellStart"/>
      <w:r w:rsidR="00D44E78" w:rsidRPr="0051166A">
        <w:rPr>
          <w:sz w:val="24"/>
          <w:szCs w:val="24"/>
        </w:rPr>
        <w:t>изградњи</w:t>
      </w:r>
      <w:proofErr w:type="spellEnd"/>
      <w:r w:rsidR="00D44E78" w:rsidRPr="0051166A">
        <w:rPr>
          <w:color w:val="000000"/>
          <w:sz w:val="24"/>
          <w:szCs w:val="24"/>
        </w:rPr>
        <w:t xml:space="preserve"> </w:t>
      </w:r>
      <w:r w:rsidR="000379E7">
        <w:rPr>
          <w:color w:val="000000"/>
          <w:sz w:val="24"/>
          <w:szCs w:val="24"/>
        </w:rPr>
        <w:t xml:space="preserve">прикључног гасовода и </w:t>
      </w:r>
      <w:r w:rsidR="00364DD2" w:rsidRPr="004A2751">
        <w:rPr>
          <w:color w:val="000000"/>
          <w:sz w:val="24"/>
          <w:szCs w:val="24"/>
        </w:rPr>
        <w:t xml:space="preserve">МРС </w:t>
      </w:r>
      <w:r w:rsidR="000379E7">
        <w:rPr>
          <w:color w:val="000000"/>
          <w:sz w:val="24"/>
          <w:szCs w:val="24"/>
        </w:rPr>
        <w:t>за зграду Основне школе „</w:t>
      </w:r>
      <w:proofErr w:type="spellStart"/>
      <w:r w:rsidR="000379E7">
        <w:rPr>
          <w:color w:val="000000"/>
          <w:sz w:val="24"/>
          <w:szCs w:val="24"/>
        </w:rPr>
        <w:t>Бранко</w:t>
      </w:r>
      <w:proofErr w:type="spellEnd"/>
      <w:r w:rsidR="000379E7">
        <w:rPr>
          <w:color w:val="000000"/>
          <w:sz w:val="24"/>
          <w:szCs w:val="24"/>
        </w:rPr>
        <w:t xml:space="preserve"> </w:t>
      </w:r>
      <w:proofErr w:type="spellStart"/>
      <w:r w:rsidR="000379E7">
        <w:rPr>
          <w:color w:val="000000"/>
          <w:sz w:val="24"/>
          <w:szCs w:val="24"/>
        </w:rPr>
        <w:t>Радичевић</w:t>
      </w:r>
      <w:proofErr w:type="spellEnd"/>
      <w:r w:rsidR="000379E7">
        <w:rPr>
          <w:color w:val="000000"/>
          <w:sz w:val="24"/>
          <w:szCs w:val="24"/>
        </w:rPr>
        <w:t>“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0379E7">
        <w:rPr>
          <w:color w:val="000000"/>
          <w:sz w:val="24"/>
          <w:szCs w:val="24"/>
        </w:rPr>
        <w:t>Оџаци</w:t>
      </w:r>
      <w:proofErr w:type="spellEnd"/>
      <w:r w:rsidR="000379E7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0379E7">
        <w:rPr>
          <w:b/>
          <w:color w:val="000000"/>
          <w:sz w:val="24"/>
          <w:szCs w:val="24"/>
        </w:rPr>
        <w:t>598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F128C1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2831BA">
        <w:rPr>
          <w:color w:val="000000"/>
          <w:sz w:val="24"/>
          <w:szCs w:val="24"/>
        </w:rPr>
        <w:t>2650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0379E7">
        <w:rPr>
          <w:sz w:val="24"/>
          <w:szCs w:val="24"/>
        </w:rPr>
        <w:t>38242</w:t>
      </w:r>
      <w:r w:rsidR="006B6CAF">
        <w:rPr>
          <w:sz w:val="24"/>
          <w:szCs w:val="24"/>
        </w:rPr>
        <w:t>-LOC</w:t>
      </w:r>
      <w:r w:rsidR="007205FB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5F39C3">
        <w:rPr>
          <w:sz w:val="24"/>
          <w:szCs w:val="24"/>
        </w:rPr>
        <w:t>13</w:t>
      </w:r>
      <w:r w:rsidR="006D3F0E">
        <w:rPr>
          <w:sz w:val="24"/>
          <w:szCs w:val="24"/>
        </w:rPr>
        <w:t>.</w:t>
      </w:r>
      <w:r w:rsidR="005F39C3">
        <w:rPr>
          <w:sz w:val="24"/>
          <w:szCs w:val="24"/>
        </w:rPr>
        <w:t>01.2020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0379E7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 23/2019/ИДП</w:t>
      </w:r>
      <w:r w:rsidR="00B012E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јануар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архитекти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Нови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Сад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Цвијића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1</w:t>
      </w:r>
      <w:r w:rsidR="00364DD2">
        <w:rPr>
          <w:sz w:val="24"/>
          <w:szCs w:val="24"/>
        </w:rPr>
        <w:t>0</w:t>
      </w:r>
      <w:r>
        <w:rPr>
          <w:sz w:val="24"/>
          <w:szCs w:val="24"/>
        </w:rPr>
        <w:t>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Обрадовић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1247 03</w:t>
      </w:r>
      <w:r w:rsidR="00AF3214" w:rsidRPr="00AF3214">
        <w:rPr>
          <w:sz w:val="24"/>
          <w:szCs w:val="24"/>
        </w:rPr>
        <w:t>;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F39C3">
        <w:rPr>
          <w:b/>
          <w:color w:val="000000"/>
          <w:sz w:val="24"/>
          <w:szCs w:val="24"/>
        </w:rPr>
        <w:t>2.063.802</w:t>
      </w:r>
      <w:proofErr w:type="gramStart"/>
      <w:r w:rsidR="005F39C3">
        <w:rPr>
          <w:b/>
          <w:color w:val="000000"/>
          <w:sz w:val="24"/>
          <w:szCs w:val="24"/>
        </w:rPr>
        <w:t>,50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="005F39C3">
        <w:rPr>
          <w:rFonts w:eastAsia="Times New Roman"/>
          <w:sz w:val="24"/>
          <w:szCs w:val="24"/>
        </w:rPr>
        <w:t>ЈП „</w:t>
      </w:r>
      <w:proofErr w:type="spellStart"/>
      <w:r w:rsidR="005F39C3">
        <w:rPr>
          <w:rFonts w:eastAsia="Times New Roman"/>
          <w:sz w:val="24"/>
          <w:szCs w:val="24"/>
        </w:rPr>
        <w:t>Србијагас</w:t>
      </w:r>
      <w:proofErr w:type="spellEnd"/>
      <w:r w:rsidR="005F39C3">
        <w:rPr>
          <w:rFonts w:eastAsia="Times New Roman"/>
          <w:sz w:val="24"/>
          <w:szCs w:val="24"/>
        </w:rPr>
        <w:t xml:space="preserve">“ </w:t>
      </w:r>
      <w:proofErr w:type="spellStart"/>
      <w:r w:rsidR="005F39C3">
        <w:rPr>
          <w:rFonts w:eastAsia="Times New Roman"/>
          <w:sz w:val="24"/>
          <w:szCs w:val="24"/>
        </w:rPr>
        <w:t>Нови</w:t>
      </w:r>
      <w:proofErr w:type="spellEnd"/>
      <w:r w:rsidR="005F39C3">
        <w:rPr>
          <w:rFonts w:eastAsia="Times New Roman"/>
          <w:sz w:val="24"/>
          <w:szCs w:val="24"/>
        </w:rPr>
        <w:t xml:space="preserve"> </w:t>
      </w:r>
      <w:proofErr w:type="spellStart"/>
      <w:r w:rsidR="005F39C3">
        <w:rPr>
          <w:rFonts w:eastAsia="Times New Roman"/>
          <w:sz w:val="24"/>
          <w:szCs w:val="24"/>
        </w:rPr>
        <w:t>Сад</w:t>
      </w:r>
      <w:proofErr w:type="spellEnd"/>
      <w:r w:rsidR="005F39C3">
        <w:rPr>
          <w:color w:val="000000"/>
          <w:sz w:val="24"/>
          <w:szCs w:val="24"/>
        </w:rPr>
        <w:t>,</w:t>
      </w:r>
      <w:r w:rsidR="00044643" w:rsidRPr="0051166A">
        <w:rPr>
          <w:color w:val="000000"/>
          <w:sz w:val="24"/>
          <w:szCs w:val="24"/>
        </w:rPr>
        <w:t xml:space="preserve"> </w:t>
      </w:r>
      <w:proofErr w:type="spellStart"/>
      <w:r w:rsidR="002B2CE2" w:rsidRPr="0051166A">
        <w:rPr>
          <w:rFonts w:eastAsia="Times New Roman"/>
          <w:sz w:val="24"/>
          <w:szCs w:val="24"/>
        </w:rPr>
        <w:t>преко</w:t>
      </w:r>
      <w:proofErr w:type="spellEnd"/>
      <w:r w:rsidR="002B2CE2" w:rsidRPr="0051166A">
        <w:rPr>
          <w:rFonts w:eastAsia="Times New Roman"/>
          <w:sz w:val="24"/>
          <w:szCs w:val="24"/>
        </w:rPr>
        <w:t xml:space="preserve"> </w:t>
      </w:r>
      <w:r w:rsidR="00473157">
        <w:rPr>
          <w:rFonts w:eastAsia="Times New Roman"/>
          <w:sz w:val="24"/>
          <w:szCs w:val="24"/>
          <w:lang/>
        </w:rPr>
        <w:t>овлашћења датог</w:t>
      </w:r>
      <w:r w:rsidR="002B2CE2" w:rsidRPr="0051166A">
        <w:rPr>
          <w:rFonts w:eastAsia="Times New Roman"/>
          <w:sz w:val="24"/>
          <w:szCs w:val="24"/>
        </w:rPr>
        <w:t xml:space="preserve"> </w:t>
      </w:r>
      <w:proofErr w:type="spellStart"/>
      <w:r w:rsidR="00473157">
        <w:rPr>
          <w:rFonts w:eastAsia="Times New Roman"/>
          <w:sz w:val="24"/>
          <w:szCs w:val="24"/>
        </w:rPr>
        <w:t>Општин</w:t>
      </w:r>
      <w:proofErr w:type="spellEnd"/>
      <w:r w:rsidR="00473157">
        <w:rPr>
          <w:rFonts w:eastAsia="Times New Roman"/>
          <w:sz w:val="24"/>
          <w:szCs w:val="24"/>
          <w:lang/>
        </w:rPr>
        <w:t>ској управи</w:t>
      </w:r>
      <w:r w:rsidR="005F39C3">
        <w:rPr>
          <w:rFonts w:eastAsia="Times New Roman"/>
          <w:sz w:val="24"/>
          <w:szCs w:val="24"/>
        </w:rPr>
        <w:t xml:space="preserve"> </w:t>
      </w:r>
      <w:proofErr w:type="spellStart"/>
      <w:r w:rsidR="005F39C3">
        <w:rPr>
          <w:rFonts w:eastAsia="Times New Roman"/>
          <w:sz w:val="24"/>
          <w:szCs w:val="24"/>
        </w:rPr>
        <w:t>Оџаци</w:t>
      </w:r>
      <w:proofErr w:type="spellEnd"/>
      <w:r w:rsidR="002F3FAC" w:rsidRPr="0051166A">
        <w:rPr>
          <w:color w:val="000000"/>
          <w:sz w:val="24"/>
          <w:szCs w:val="24"/>
        </w:rPr>
        <w:t xml:space="preserve">, </w:t>
      </w:r>
      <w:proofErr w:type="spellStart"/>
      <w:r w:rsidR="005F39C3">
        <w:rPr>
          <w:color w:val="000000"/>
          <w:sz w:val="24"/>
          <w:szCs w:val="24"/>
        </w:rPr>
        <w:t>Кнез</w:t>
      </w:r>
      <w:proofErr w:type="spellEnd"/>
      <w:r w:rsidR="005F39C3">
        <w:rPr>
          <w:color w:val="000000"/>
          <w:sz w:val="24"/>
          <w:szCs w:val="24"/>
        </w:rPr>
        <w:t xml:space="preserve"> </w:t>
      </w:r>
      <w:proofErr w:type="spellStart"/>
      <w:r w:rsidR="005F39C3">
        <w:rPr>
          <w:color w:val="000000"/>
          <w:sz w:val="24"/>
          <w:szCs w:val="24"/>
        </w:rPr>
        <w:t>Михајлова</w:t>
      </w:r>
      <w:proofErr w:type="spellEnd"/>
      <w:r w:rsidR="005F39C3">
        <w:rPr>
          <w:color w:val="000000"/>
          <w:sz w:val="24"/>
          <w:szCs w:val="24"/>
        </w:rPr>
        <w:t xml:space="preserve"> 24, </w:t>
      </w:r>
      <w:proofErr w:type="spellStart"/>
      <w:r w:rsidR="00767558" w:rsidRPr="0051166A">
        <w:rPr>
          <w:color w:val="000000"/>
          <w:sz w:val="24"/>
          <w:szCs w:val="24"/>
        </w:rPr>
        <w:t>обрати</w:t>
      </w:r>
      <w:r w:rsidR="005F39C3">
        <w:rPr>
          <w:color w:val="000000"/>
          <w:sz w:val="24"/>
          <w:szCs w:val="24"/>
        </w:rPr>
        <w:t>о</w:t>
      </w:r>
      <w:proofErr w:type="spellEnd"/>
      <w:r w:rsidR="005F39C3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се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овом</w:t>
      </w:r>
      <w:proofErr w:type="spellEnd"/>
      <w:r w:rsidR="00EE38AE" w:rsidRPr="0051166A">
        <w:rPr>
          <w:color w:val="000000"/>
          <w:sz w:val="24"/>
          <w:szCs w:val="24"/>
        </w:rPr>
        <w:t xml:space="preserve"> </w:t>
      </w:r>
      <w:proofErr w:type="spellStart"/>
      <w:r w:rsidR="00EE38AE" w:rsidRPr="0051166A">
        <w:rPr>
          <w:color w:val="000000"/>
          <w:sz w:val="24"/>
          <w:szCs w:val="24"/>
        </w:rPr>
        <w:t>органу</w:t>
      </w:r>
      <w:proofErr w:type="spellEnd"/>
      <w:r w:rsidR="007E489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захтевом</w:t>
      </w:r>
      <w:proofErr w:type="spellEnd"/>
      <w:r w:rsidR="00EF582F" w:rsidRPr="0051166A">
        <w:rPr>
          <w:color w:val="000000"/>
          <w:sz w:val="24"/>
          <w:szCs w:val="24"/>
        </w:rPr>
        <w:t xml:space="preserve">, у </w:t>
      </w:r>
      <w:proofErr w:type="spellStart"/>
      <w:r w:rsidR="00EF582F" w:rsidRPr="0051166A">
        <w:rPr>
          <w:color w:val="000000"/>
          <w:sz w:val="24"/>
          <w:szCs w:val="24"/>
        </w:rPr>
        <w:t>форми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електронског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документа</w:t>
      </w:r>
      <w:proofErr w:type="spellEnd"/>
      <w:r w:rsidR="00EF582F" w:rsidRPr="0051166A">
        <w:rPr>
          <w:color w:val="000000"/>
          <w:sz w:val="24"/>
          <w:szCs w:val="24"/>
        </w:rPr>
        <w:t xml:space="preserve">, </w:t>
      </w:r>
      <w:proofErr w:type="spellStart"/>
      <w:r w:rsidR="00EF582F" w:rsidRPr="0051166A">
        <w:rPr>
          <w:color w:val="000000"/>
          <w:sz w:val="24"/>
          <w:szCs w:val="24"/>
        </w:rPr>
        <w:t>за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издавање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Решења</w:t>
      </w:r>
      <w:proofErr w:type="spellEnd"/>
      <w:r w:rsidR="00EF582F" w:rsidRPr="0051166A">
        <w:rPr>
          <w:color w:val="000000"/>
          <w:sz w:val="24"/>
          <w:szCs w:val="24"/>
        </w:rPr>
        <w:t xml:space="preserve"> о </w:t>
      </w:r>
      <w:proofErr w:type="spellStart"/>
      <w:r w:rsidR="00EF582F" w:rsidRPr="0051166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379E7" w:rsidRPr="000379E7" w:rsidRDefault="000379E7" w:rsidP="000379E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 23/2019/ИДП,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архитекти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Јована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Цвијића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10,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Обрадовић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1247 03, који чини:</w:t>
      </w:r>
    </w:p>
    <w:p w:rsidR="000379E7" w:rsidRDefault="000379E7" w:rsidP="000379E7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 w:rsidR="00BA1D68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, </w:t>
      </w:r>
      <w:proofErr w:type="spellStart"/>
      <w:r w:rsidR="00BA1D68">
        <w:rPr>
          <w:sz w:val="24"/>
          <w:szCs w:val="24"/>
        </w:rPr>
        <w:t>главни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пројектант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Раде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Обрадовић</w:t>
      </w:r>
      <w:proofErr w:type="spellEnd"/>
      <w:r w:rsidR="00BA1D68">
        <w:rPr>
          <w:sz w:val="24"/>
          <w:szCs w:val="24"/>
        </w:rPr>
        <w:t xml:space="preserve">, </w:t>
      </w:r>
      <w:proofErr w:type="spellStart"/>
      <w:proofErr w:type="gramStart"/>
      <w:r w:rsidR="00BA1D68">
        <w:rPr>
          <w:sz w:val="24"/>
          <w:szCs w:val="24"/>
        </w:rPr>
        <w:t>дипл.инж.маш</w:t>
      </w:r>
      <w:proofErr w:type="spellEnd"/>
      <w:r w:rsidR="00BA1D68">
        <w:rPr>
          <w:sz w:val="24"/>
          <w:szCs w:val="24"/>
        </w:rPr>
        <w:t>.,</w:t>
      </w:r>
      <w:proofErr w:type="gram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лиценца</w:t>
      </w:r>
      <w:proofErr w:type="spellEnd"/>
      <w:r w:rsidR="00BA1D68">
        <w:rPr>
          <w:sz w:val="24"/>
          <w:szCs w:val="24"/>
        </w:rPr>
        <w:t xml:space="preserve"> </w:t>
      </w:r>
      <w:proofErr w:type="spellStart"/>
      <w:r w:rsidR="00BA1D68">
        <w:rPr>
          <w:sz w:val="24"/>
          <w:szCs w:val="24"/>
        </w:rPr>
        <w:t>бр</w:t>
      </w:r>
      <w:proofErr w:type="spellEnd"/>
      <w:r w:rsidR="00BA1D68">
        <w:rPr>
          <w:sz w:val="24"/>
          <w:szCs w:val="24"/>
        </w:rPr>
        <w:t>. 330</w:t>
      </w:r>
      <w:r w:rsidR="00BA1D68" w:rsidRPr="00AF3214">
        <w:rPr>
          <w:sz w:val="24"/>
          <w:szCs w:val="24"/>
        </w:rPr>
        <w:t xml:space="preserve"> </w:t>
      </w:r>
      <w:r w:rsidR="00BA1D68">
        <w:rPr>
          <w:sz w:val="24"/>
          <w:szCs w:val="24"/>
        </w:rPr>
        <w:t>1247 03</w:t>
      </w:r>
      <w:r w:rsidR="00BA1D68" w:rsidRPr="00AF3214">
        <w:rPr>
          <w:sz w:val="24"/>
          <w:szCs w:val="24"/>
        </w:rPr>
        <w:t>;</w:t>
      </w:r>
    </w:p>
    <w:p w:rsidR="000379E7" w:rsidRDefault="000379E7" w:rsidP="000379E7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</w:t>
      </w:r>
      <w:r w:rsidR="00BA1D68">
        <w:rPr>
          <w:sz w:val="24"/>
          <w:szCs w:val="24"/>
        </w:rPr>
        <w:t xml:space="preserve"> 2/1, одговорни пројектант Бранка Симанић, дипл.инж.грађ., лиценца број 310 И00816 19;</w:t>
      </w:r>
    </w:p>
    <w:p w:rsidR="000379E7" w:rsidRDefault="000379E7" w:rsidP="000379E7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електроенергетских инсталација-уземљење МРС 4/1</w:t>
      </w:r>
      <w:r w:rsidR="00BA1D68">
        <w:rPr>
          <w:sz w:val="24"/>
          <w:szCs w:val="24"/>
        </w:rPr>
        <w:t>, одговорни пројектант Игор Павловић, дипл.инж.ел., лиценца број 350 К089 11;</w:t>
      </w:r>
    </w:p>
    <w:p w:rsidR="000379E7" w:rsidRDefault="000379E7" w:rsidP="000379E7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-Пројекат </w:t>
      </w:r>
      <w:proofErr w:type="spellStart"/>
      <w:r>
        <w:rPr>
          <w:sz w:val="24"/>
          <w:szCs w:val="24"/>
        </w:rPr>
        <w:t>електроенергетских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инсталација-катодна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заштита</w:t>
      </w:r>
      <w:proofErr w:type="spellEnd"/>
      <w:r>
        <w:rPr>
          <w:sz w:val="24"/>
          <w:szCs w:val="24"/>
        </w:rPr>
        <w:t xml:space="preserve"> 4/2</w:t>
      </w:r>
      <w:r w:rsidR="00473157">
        <w:rPr>
          <w:sz w:val="24"/>
          <w:szCs w:val="24"/>
          <w:lang/>
        </w:rPr>
        <w:t>,</w:t>
      </w:r>
      <w:r w:rsidR="005F39C3" w:rsidRPr="005F39C3">
        <w:rPr>
          <w:sz w:val="24"/>
          <w:szCs w:val="24"/>
        </w:rPr>
        <w:t xml:space="preserve"> </w:t>
      </w:r>
      <w:r w:rsidR="005F39C3">
        <w:rPr>
          <w:sz w:val="24"/>
          <w:szCs w:val="24"/>
        </w:rPr>
        <w:t xml:space="preserve">одговорни пројектант Игор Павловић, </w:t>
      </w:r>
      <w:proofErr w:type="gramStart"/>
      <w:r w:rsidR="005F39C3">
        <w:rPr>
          <w:sz w:val="24"/>
          <w:szCs w:val="24"/>
        </w:rPr>
        <w:t>дипл.инж.ел.,</w:t>
      </w:r>
      <w:proofErr w:type="gramEnd"/>
      <w:r w:rsidR="005F39C3">
        <w:rPr>
          <w:sz w:val="24"/>
          <w:szCs w:val="24"/>
        </w:rPr>
        <w:t xml:space="preserve"> лиценца број 350 К089 11;</w:t>
      </w:r>
    </w:p>
    <w:p w:rsidR="000379E7" w:rsidRDefault="000379E7" w:rsidP="000379E7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A1D68">
        <w:rPr>
          <w:sz w:val="24"/>
          <w:szCs w:val="24"/>
        </w:rPr>
        <w:t xml:space="preserve">Пројекат машинских инсталација-прикључни гасовод и МРС за природни </w:t>
      </w:r>
      <w:proofErr w:type="spellStart"/>
      <w:r w:rsidR="00BA1D68">
        <w:rPr>
          <w:sz w:val="24"/>
          <w:szCs w:val="24"/>
        </w:rPr>
        <w:t>гас</w:t>
      </w:r>
      <w:proofErr w:type="spellEnd"/>
      <w:r w:rsidR="00BA1D68">
        <w:rPr>
          <w:sz w:val="24"/>
          <w:szCs w:val="24"/>
        </w:rPr>
        <w:t xml:space="preserve"> 6</w:t>
      </w:r>
      <w:r w:rsidR="005F39C3">
        <w:rPr>
          <w:sz w:val="24"/>
          <w:szCs w:val="24"/>
        </w:rPr>
        <w:t>,</w:t>
      </w:r>
      <w:r w:rsidR="005F39C3" w:rsidRP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одговорни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пројектант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Раде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Обрадовић</w:t>
      </w:r>
      <w:proofErr w:type="spellEnd"/>
      <w:r w:rsidR="005F39C3">
        <w:rPr>
          <w:sz w:val="24"/>
          <w:szCs w:val="24"/>
        </w:rPr>
        <w:t xml:space="preserve">, </w:t>
      </w:r>
      <w:proofErr w:type="spellStart"/>
      <w:proofErr w:type="gramStart"/>
      <w:r w:rsidR="005F39C3">
        <w:rPr>
          <w:sz w:val="24"/>
          <w:szCs w:val="24"/>
        </w:rPr>
        <w:t>дипл.инж.маш</w:t>
      </w:r>
      <w:proofErr w:type="spellEnd"/>
      <w:r w:rsidR="005F39C3">
        <w:rPr>
          <w:sz w:val="24"/>
          <w:szCs w:val="24"/>
        </w:rPr>
        <w:t>.,</w:t>
      </w:r>
      <w:proofErr w:type="gram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лиценца</w:t>
      </w:r>
      <w:proofErr w:type="spellEnd"/>
      <w:r w:rsidR="005F39C3">
        <w:rPr>
          <w:sz w:val="24"/>
          <w:szCs w:val="24"/>
        </w:rPr>
        <w:t xml:space="preserve"> </w:t>
      </w:r>
      <w:proofErr w:type="spellStart"/>
      <w:r w:rsidR="005F39C3">
        <w:rPr>
          <w:sz w:val="24"/>
          <w:szCs w:val="24"/>
        </w:rPr>
        <w:t>бр</w:t>
      </w:r>
      <w:proofErr w:type="spellEnd"/>
      <w:r w:rsidR="005F39C3">
        <w:rPr>
          <w:sz w:val="24"/>
          <w:szCs w:val="24"/>
        </w:rPr>
        <w:t>. 330</w:t>
      </w:r>
      <w:r w:rsidR="005F39C3" w:rsidRPr="00AF3214">
        <w:rPr>
          <w:sz w:val="24"/>
          <w:szCs w:val="24"/>
        </w:rPr>
        <w:t xml:space="preserve"> </w:t>
      </w:r>
      <w:r w:rsidR="005F39C3">
        <w:rPr>
          <w:sz w:val="24"/>
          <w:szCs w:val="24"/>
        </w:rPr>
        <w:t>1247 03</w:t>
      </w:r>
    </w:p>
    <w:p w:rsidR="007A5DA0" w:rsidRPr="00EE38AE" w:rsidRDefault="00BA1D68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Елаборат заштите од пожара</w:t>
      </w:r>
      <w:r w:rsidR="005F39C3">
        <w:rPr>
          <w:sz w:val="24"/>
          <w:szCs w:val="24"/>
        </w:rPr>
        <w:t xml:space="preserve"> израђен од стране „Вортекс протект“ доо Београд-Земун, овлашћено лице Ђорђе Регељац, дипл.инж.маш., лиценца број: 07-152-105/12 од 03.04.2013. године;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5F39C3">
        <w:rPr>
          <w:sz w:val="24"/>
          <w:szCs w:val="24"/>
        </w:rPr>
        <w:t>598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F128C1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379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31BA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DD2"/>
    <w:rsid w:val="00386B72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315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9C3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14FBA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47CB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A1D68"/>
    <w:rsid w:val="00BB04BE"/>
    <w:rsid w:val="00BB396C"/>
    <w:rsid w:val="00BD11A3"/>
    <w:rsid w:val="00BD13B5"/>
    <w:rsid w:val="00BE164C"/>
    <w:rsid w:val="00BE60C9"/>
    <w:rsid w:val="00BE78DF"/>
    <w:rsid w:val="00BF0583"/>
    <w:rsid w:val="00BF24C9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1C4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022B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B68DF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26F59"/>
    <w:rsid w:val="00F304CE"/>
    <w:rsid w:val="00F304D0"/>
    <w:rsid w:val="00F37AC0"/>
    <w:rsid w:val="00F402D7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399</cp:revision>
  <cp:lastPrinted>2021-02-10T07:54:00Z</cp:lastPrinted>
  <dcterms:created xsi:type="dcterms:W3CDTF">2017-07-06T06:51:00Z</dcterms:created>
  <dcterms:modified xsi:type="dcterms:W3CDTF">2021-02-10T07:56:00Z</dcterms:modified>
</cp:coreProperties>
</file>