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A23AF">
        <w:rPr>
          <w:sz w:val="24"/>
          <w:szCs w:val="24"/>
        </w:rPr>
        <w:t>38194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1A23AF">
        <w:rPr>
          <w:sz w:val="24"/>
          <w:szCs w:val="24"/>
        </w:rPr>
        <w:t>28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492485">
        <w:rPr>
          <w:sz w:val="24"/>
          <w:szCs w:val="24"/>
        </w:rPr>
        <w:t>7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1A23AF">
        <w:rPr>
          <w:b/>
          <w:sz w:val="24"/>
          <w:szCs w:val="24"/>
        </w:rPr>
        <w:t>1738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1A23AF">
        <w:rPr>
          <w:b/>
          <w:sz w:val="24"/>
          <w:szCs w:val="24"/>
        </w:rPr>
        <w:t>Бачки</w:t>
      </w:r>
      <w:proofErr w:type="spellEnd"/>
      <w:r w:rsidR="001A23AF">
        <w:rPr>
          <w:b/>
          <w:sz w:val="24"/>
          <w:szCs w:val="24"/>
        </w:rPr>
        <w:t xml:space="preserve"> </w:t>
      </w:r>
      <w:proofErr w:type="spellStart"/>
      <w:r w:rsidR="001A23AF">
        <w:rPr>
          <w:b/>
          <w:sz w:val="24"/>
          <w:szCs w:val="24"/>
        </w:rPr>
        <w:t>Грачац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1008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E32247">
        <w:rPr>
          <w:sz w:val="24"/>
          <w:szCs w:val="24"/>
        </w:rPr>
        <w:t xml:space="preserve"> 56,74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92,59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E32247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92,59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44,56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E32247">
        <w:rPr>
          <w:sz w:val="24"/>
          <w:szCs w:val="24"/>
        </w:rPr>
        <w:t>75,45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E32247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 xml:space="preserve">-кућа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два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стана</w:t>
      </w:r>
      <w:proofErr w:type="spellEnd"/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E32247">
        <w:rPr>
          <w:sz w:val="24"/>
          <w:szCs w:val="24"/>
        </w:rPr>
        <w:t>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Састоји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се</w:t>
      </w:r>
      <w:proofErr w:type="spellEnd"/>
      <w:r w:rsidR="00E32247">
        <w:rPr>
          <w:sz w:val="24"/>
          <w:szCs w:val="24"/>
        </w:rPr>
        <w:t xml:space="preserve"> </w:t>
      </w:r>
      <w:r w:rsidR="003D34E6">
        <w:rPr>
          <w:sz w:val="24"/>
          <w:szCs w:val="24"/>
        </w:rPr>
        <w:t>-</w:t>
      </w:r>
      <w:proofErr w:type="spellStart"/>
      <w:r w:rsidR="008F5C8F">
        <w:rPr>
          <w:sz w:val="24"/>
          <w:szCs w:val="24"/>
        </w:rPr>
        <w:t>стамбена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јединица</w:t>
      </w:r>
      <w:proofErr w:type="spellEnd"/>
      <w:r w:rsidR="008F5C8F">
        <w:rPr>
          <w:sz w:val="24"/>
          <w:szCs w:val="24"/>
        </w:rPr>
        <w:t xml:space="preserve"> 1</w:t>
      </w:r>
      <w:r w:rsidR="003D34E6">
        <w:rPr>
          <w:sz w:val="24"/>
          <w:szCs w:val="24"/>
        </w:rPr>
        <w:t>-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730BEF">
        <w:rPr>
          <w:sz w:val="24"/>
          <w:szCs w:val="24"/>
          <w:lang/>
        </w:rPr>
        <w:t xml:space="preserve"> ходника,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ку</w:t>
      </w:r>
      <w:r w:rsidR="0000445B">
        <w:rPr>
          <w:sz w:val="24"/>
          <w:szCs w:val="24"/>
        </w:rPr>
        <w:t>патила</w:t>
      </w:r>
      <w:proofErr w:type="spellEnd"/>
      <w:r w:rsidR="0000445B">
        <w:rPr>
          <w:sz w:val="24"/>
          <w:szCs w:val="24"/>
        </w:rPr>
        <w:t xml:space="preserve"> и </w:t>
      </w:r>
      <w:proofErr w:type="spellStart"/>
      <w:r w:rsidR="0000445B">
        <w:rPr>
          <w:sz w:val="24"/>
          <w:szCs w:val="24"/>
        </w:rPr>
        <w:t>комбиноване</w:t>
      </w:r>
      <w:proofErr w:type="spellEnd"/>
      <w:r w:rsidR="0000445B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собе</w:t>
      </w:r>
      <w:proofErr w:type="spellEnd"/>
      <w:r w:rsidR="0000445B">
        <w:rPr>
          <w:sz w:val="24"/>
          <w:szCs w:val="24"/>
        </w:rPr>
        <w:t>,</w:t>
      </w:r>
      <w:r w:rsidR="003D34E6" w:rsidRP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нето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44,56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3D34E6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бруто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56,74</w:t>
      </w:r>
      <w:r w:rsidR="003D34E6" w:rsidRPr="00452E28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,</w:t>
      </w:r>
      <w:r w:rsidR="003D34E6">
        <w:rPr>
          <w:sz w:val="24"/>
          <w:szCs w:val="24"/>
        </w:rPr>
        <w:t xml:space="preserve"> -</w:t>
      </w:r>
      <w:proofErr w:type="spellStart"/>
      <w:r w:rsidR="003D34E6">
        <w:rPr>
          <w:sz w:val="24"/>
          <w:szCs w:val="24"/>
        </w:rPr>
        <w:t>стамбена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јединица</w:t>
      </w:r>
      <w:proofErr w:type="spellEnd"/>
      <w:r w:rsidR="003D34E6">
        <w:rPr>
          <w:sz w:val="24"/>
          <w:szCs w:val="24"/>
        </w:rPr>
        <w:t xml:space="preserve"> 2-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r w:rsidR="00730BEF">
        <w:rPr>
          <w:sz w:val="24"/>
          <w:szCs w:val="24"/>
          <w:lang/>
        </w:rPr>
        <w:t xml:space="preserve">ходника, </w:t>
      </w:r>
      <w:proofErr w:type="spellStart"/>
      <w:r w:rsidR="008F5C8F">
        <w:rPr>
          <w:sz w:val="24"/>
          <w:szCs w:val="24"/>
        </w:rPr>
        <w:t>купатил</w:t>
      </w:r>
      <w:r w:rsidR="0000445B">
        <w:rPr>
          <w:sz w:val="24"/>
          <w:szCs w:val="24"/>
        </w:rPr>
        <w:t>а</w:t>
      </w:r>
      <w:proofErr w:type="spellEnd"/>
      <w:r w:rsidR="0000445B">
        <w:rPr>
          <w:sz w:val="24"/>
          <w:szCs w:val="24"/>
        </w:rPr>
        <w:t xml:space="preserve"> и </w:t>
      </w:r>
      <w:proofErr w:type="spellStart"/>
      <w:r w:rsidR="0000445B">
        <w:rPr>
          <w:sz w:val="24"/>
          <w:szCs w:val="24"/>
        </w:rPr>
        <w:t>комбиноване</w:t>
      </w:r>
      <w:proofErr w:type="spellEnd"/>
      <w:r w:rsidR="0000445B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собе</w:t>
      </w:r>
      <w:proofErr w:type="spellEnd"/>
      <w:r w:rsidR="0000445B">
        <w:rPr>
          <w:sz w:val="24"/>
          <w:szCs w:val="24"/>
        </w:rPr>
        <w:t>,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44,56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56,74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E32247">
        <w:rPr>
          <w:sz w:val="24"/>
          <w:szCs w:val="24"/>
        </w:rPr>
        <w:t>г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облика</w:t>
      </w:r>
      <w:proofErr w:type="spellEnd"/>
      <w:r w:rsidR="00E32247">
        <w:rPr>
          <w:sz w:val="24"/>
          <w:szCs w:val="24"/>
        </w:rPr>
        <w:t xml:space="preserve">, </w:t>
      </w:r>
      <w:proofErr w:type="spellStart"/>
      <w:r w:rsidR="00E32247">
        <w:rPr>
          <w:sz w:val="24"/>
          <w:szCs w:val="24"/>
        </w:rPr>
        <w:t>димензија</w:t>
      </w:r>
      <w:proofErr w:type="spellEnd"/>
      <w:r w:rsidR="00E32247">
        <w:rPr>
          <w:sz w:val="24"/>
          <w:szCs w:val="24"/>
        </w:rPr>
        <w:t xml:space="preserve"> 7,71 х 12,01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ходника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две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за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две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особе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кухиње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комбиноване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тоалета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ходника</w:t>
      </w:r>
      <w:proofErr w:type="spellEnd"/>
      <w:r w:rsidR="008F5C8F">
        <w:rPr>
          <w:sz w:val="24"/>
          <w:szCs w:val="24"/>
        </w:rPr>
        <w:t xml:space="preserve"> и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за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две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особе</w:t>
      </w:r>
      <w:proofErr w:type="spellEnd"/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75,45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92,59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A23AF">
        <w:rPr>
          <w:sz w:val="24"/>
          <w:szCs w:val="24"/>
        </w:rPr>
        <w:t>1121</w:t>
      </w:r>
      <w:r>
        <w:rPr>
          <w:sz w:val="24"/>
          <w:szCs w:val="24"/>
        </w:rPr>
        <w:t>11</w:t>
      </w:r>
      <w:r w:rsidR="0000445B">
        <w:rPr>
          <w:sz w:val="24"/>
          <w:szCs w:val="24"/>
        </w:rPr>
        <w:t xml:space="preserve">-фаза </w:t>
      </w:r>
      <w:r w:rsidR="001A23AF">
        <w:rPr>
          <w:sz w:val="24"/>
          <w:szCs w:val="24"/>
        </w:rPr>
        <w:t xml:space="preserve">1, </w:t>
      </w:r>
      <w:proofErr w:type="spellStart"/>
      <w:r w:rsidR="001A23AF">
        <w:rPr>
          <w:sz w:val="24"/>
          <w:szCs w:val="24"/>
        </w:rPr>
        <w:t>класификационе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ознаке</w:t>
      </w:r>
      <w:proofErr w:type="spellEnd"/>
      <w:r w:rsidR="001A23AF">
        <w:rPr>
          <w:sz w:val="24"/>
          <w:szCs w:val="24"/>
        </w:rPr>
        <w:t xml:space="preserve"> 111011</w:t>
      </w:r>
      <w:r w:rsidR="00E32247">
        <w:rPr>
          <w:sz w:val="24"/>
          <w:szCs w:val="24"/>
        </w:rPr>
        <w:t>-фаза 2</w:t>
      </w:r>
      <w:r>
        <w:rPr>
          <w:sz w:val="24"/>
          <w:szCs w:val="24"/>
        </w:rPr>
        <w:t>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7.018.510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1A23AF">
        <w:rPr>
          <w:sz w:val="24"/>
          <w:szCs w:val="24"/>
        </w:rPr>
        <w:t>38194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06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>17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r w:rsidR="00730BEF">
        <w:rPr>
          <w:sz w:val="24"/>
          <w:szCs w:val="24"/>
          <w:lang/>
        </w:rPr>
        <w:t xml:space="preserve">одговорно лице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„</w:t>
      </w:r>
      <w:proofErr w:type="spellStart"/>
      <w:r w:rsidR="00E32247">
        <w:rPr>
          <w:sz w:val="24"/>
          <w:szCs w:val="24"/>
        </w:rPr>
        <w:t>Ентазис</w:t>
      </w:r>
      <w:proofErr w:type="spellEnd"/>
      <w:r w:rsidR="00E32247">
        <w:rPr>
          <w:sz w:val="24"/>
          <w:szCs w:val="24"/>
        </w:rPr>
        <w:t xml:space="preserve">” </w:t>
      </w:r>
      <w:proofErr w:type="spellStart"/>
      <w:r w:rsidR="00E32247">
        <w:rPr>
          <w:sz w:val="24"/>
          <w:szCs w:val="24"/>
        </w:rPr>
        <w:t>Београд</w:t>
      </w:r>
      <w:proofErr w:type="spellEnd"/>
      <w:r w:rsidR="00E32247">
        <w:rPr>
          <w:sz w:val="24"/>
          <w:szCs w:val="24"/>
        </w:rPr>
        <w:t xml:space="preserve">, </w:t>
      </w:r>
      <w:proofErr w:type="spellStart"/>
      <w:r w:rsidR="00E32247">
        <w:rPr>
          <w:sz w:val="24"/>
          <w:szCs w:val="24"/>
        </w:rPr>
        <w:t>под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бројем</w:t>
      </w:r>
      <w:proofErr w:type="spellEnd"/>
      <w:r w:rsidR="00E32247">
        <w:rPr>
          <w:sz w:val="24"/>
          <w:szCs w:val="24"/>
        </w:rPr>
        <w:t xml:space="preserve"> 06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06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00445B">
        <w:rPr>
          <w:sz w:val="24"/>
          <w:szCs w:val="24"/>
        </w:rPr>
        <w:t>ције</w:t>
      </w:r>
      <w:proofErr w:type="spellEnd"/>
      <w:r w:rsidR="0000445B">
        <w:rPr>
          <w:sz w:val="24"/>
          <w:szCs w:val="24"/>
        </w:rPr>
        <w:t xml:space="preserve"> „</w:t>
      </w:r>
      <w:proofErr w:type="spellStart"/>
      <w:r w:rsidR="0000445B">
        <w:rPr>
          <w:sz w:val="24"/>
          <w:szCs w:val="24"/>
        </w:rPr>
        <w:t>Ентазис</w:t>
      </w:r>
      <w:proofErr w:type="spellEnd"/>
      <w:r w:rsidR="0000445B">
        <w:rPr>
          <w:sz w:val="24"/>
          <w:szCs w:val="24"/>
        </w:rPr>
        <w:t xml:space="preserve">” </w:t>
      </w:r>
      <w:proofErr w:type="spellStart"/>
      <w:r w:rsidR="0000445B">
        <w:rPr>
          <w:sz w:val="24"/>
          <w:szCs w:val="24"/>
        </w:rPr>
        <w:t>Београд</w:t>
      </w:r>
      <w:proofErr w:type="spellEnd"/>
      <w:r w:rsidR="0000445B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E32247">
        <w:rPr>
          <w:sz w:val="24"/>
          <w:szCs w:val="24"/>
        </w:rPr>
        <w:t xml:space="preserve"> (фаза2) </w:t>
      </w:r>
      <w:proofErr w:type="spellStart"/>
      <w:r w:rsidR="00E32247">
        <w:rPr>
          <w:sz w:val="24"/>
          <w:szCs w:val="24"/>
        </w:rPr>
        <w:t>број</w:t>
      </w:r>
      <w:proofErr w:type="spellEnd"/>
      <w:r w:rsidR="00E32247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00445B">
        <w:rPr>
          <w:sz w:val="24"/>
          <w:szCs w:val="24"/>
        </w:rPr>
        <w:t>Ентазис</w:t>
      </w:r>
      <w:proofErr w:type="spellEnd"/>
      <w:r w:rsidR="0000445B">
        <w:rPr>
          <w:sz w:val="24"/>
          <w:szCs w:val="24"/>
        </w:rPr>
        <w:t xml:space="preserve">” </w:t>
      </w:r>
      <w:proofErr w:type="spellStart"/>
      <w:r w:rsidR="0000445B">
        <w:rPr>
          <w:sz w:val="24"/>
          <w:szCs w:val="24"/>
        </w:rPr>
        <w:t>Београд</w:t>
      </w:r>
      <w:proofErr w:type="spellEnd"/>
      <w:r w:rsidR="000044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Default="00730BEF" w:rsidP="00730BE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475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>„</w:t>
      </w:r>
      <w:proofErr w:type="spellStart"/>
      <w:r w:rsidR="008F5C8F">
        <w:rPr>
          <w:sz w:val="24"/>
          <w:szCs w:val="24"/>
        </w:rPr>
        <w:t>Ентазис</w:t>
      </w:r>
      <w:proofErr w:type="spellEnd"/>
      <w:r w:rsidR="008F5C8F">
        <w:rPr>
          <w:sz w:val="24"/>
          <w:szCs w:val="24"/>
        </w:rPr>
        <w:t xml:space="preserve">” </w:t>
      </w:r>
      <w:proofErr w:type="spellStart"/>
      <w:r w:rsidR="008F5C8F">
        <w:rPr>
          <w:sz w:val="24"/>
          <w:szCs w:val="24"/>
        </w:rPr>
        <w:t>Београд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под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бројем</w:t>
      </w:r>
      <w:proofErr w:type="spellEnd"/>
      <w:r w:rsidR="008F5C8F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8F5C8F">
        <w:rPr>
          <w:sz w:val="24"/>
          <w:szCs w:val="24"/>
        </w:rPr>
        <w:t xml:space="preserve"> 348“ </w:t>
      </w:r>
      <w:proofErr w:type="spellStart"/>
      <w:r w:rsidR="008F5C8F">
        <w:rPr>
          <w:sz w:val="24"/>
          <w:szCs w:val="24"/>
        </w:rPr>
        <w:t>доо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Београд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бројем</w:t>
      </w:r>
      <w:proofErr w:type="spellEnd"/>
      <w:r w:rsidR="008F5C8F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 xml:space="preserve">, </w:t>
      </w:r>
      <w:r w:rsidR="00730BEF">
        <w:rPr>
          <w:sz w:val="24"/>
          <w:szCs w:val="24"/>
          <w:lang/>
        </w:rPr>
        <w:t xml:space="preserve">одговорно лице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E32247">
        <w:rPr>
          <w:sz w:val="24"/>
          <w:szCs w:val="24"/>
        </w:rPr>
        <w:t>нтазис</w:t>
      </w:r>
      <w:proofErr w:type="spellEnd"/>
      <w:r w:rsidR="00E32247">
        <w:rPr>
          <w:sz w:val="24"/>
          <w:szCs w:val="24"/>
        </w:rPr>
        <w:t xml:space="preserve">” </w:t>
      </w:r>
      <w:proofErr w:type="spellStart"/>
      <w:r w:rsidR="00E32247">
        <w:rPr>
          <w:sz w:val="24"/>
          <w:szCs w:val="24"/>
        </w:rPr>
        <w:t>Београд</w:t>
      </w:r>
      <w:proofErr w:type="spellEnd"/>
      <w:r w:rsidR="00E32247">
        <w:rPr>
          <w:sz w:val="24"/>
          <w:szCs w:val="24"/>
        </w:rPr>
        <w:t xml:space="preserve">, </w:t>
      </w:r>
      <w:proofErr w:type="spellStart"/>
      <w:r w:rsidR="00E32247">
        <w:rPr>
          <w:sz w:val="24"/>
          <w:szCs w:val="24"/>
        </w:rPr>
        <w:t>под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бројем</w:t>
      </w:r>
      <w:proofErr w:type="spellEnd"/>
      <w:r w:rsidR="00E32247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E32247">
        <w:rPr>
          <w:sz w:val="24"/>
          <w:szCs w:val="24"/>
        </w:rPr>
        <w:t xml:space="preserve"> (фаза1) </w:t>
      </w:r>
      <w:proofErr w:type="spellStart"/>
      <w:r w:rsidR="00E32247">
        <w:rPr>
          <w:sz w:val="24"/>
          <w:szCs w:val="24"/>
        </w:rPr>
        <w:t>број</w:t>
      </w:r>
      <w:proofErr w:type="spellEnd"/>
      <w:r w:rsidR="00E32247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00445B">
        <w:rPr>
          <w:sz w:val="24"/>
          <w:szCs w:val="24"/>
        </w:rPr>
        <w:t>„</w:t>
      </w:r>
      <w:proofErr w:type="spellStart"/>
      <w:r w:rsidR="0000445B">
        <w:rPr>
          <w:sz w:val="24"/>
          <w:szCs w:val="24"/>
        </w:rPr>
        <w:t>Ентазис</w:t>
      </w:r>
      <w:proofErr w:type="spellEnd"/>
      <w:r w:rsidR="0000445B">
        <w:rPr>
          <w:sz w:val="24"/>
          <w:szCs w:val="24"/>
        </w:rPr>
        <w:t xml:space="preserve">” </w:t>
      </w:r>
      <w:proofErr w:type="spellStart"/>
      <w:r w:rsidR="0000445B">
        <w:rPr>
          <w:sz w:val="24"/>
          <w:szCs w:val="24"/>
        </w:rPr>
        <w:t>Београд</w:t>
      </w:r>
      <w:proofErr w:type="spellEnd"/>
      <w:r w:rsidR="000044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E32247">
        <w:rPr>
          <w:sz w:val="24"/>
          <w:szCs w:val="24"/>
        </w:rPr>
        <w:t xml:space="preserve"> (фаза2) </w:t>
      </w:r>
      <w:proofErr w:type="spellStart"/>
      <w:r w:rsidR="00E32247">
        <w:rPr>
          <w:sz w:val="24"/>
          <w:szCs w:val="24"/>
        </w:rPr>
        <w:t>број</w:t>
      </w:r>
      <w:proofErr w:type="spellEnd"/>
      <w:r w:rsidR="00E32247">
        <w:rPr>
          <w:sz w:val="24"/>
          <w:szCs w:val="24"/>
        </w:rPr>
        <w:t xml:space="preserve"> 06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>„</w:t>
      </w:r>
      <w:proofErr w:type="spellStart"/>
      <w:r w:rsidR="008F5C8F">
        <w:rPr>
          <w:sz w:val="24"/>
          <w:szCs w:val="24"/>
        </w:rPr>
        <w:t>Ентазис</w:t>
      </w:r>
      <w:proofErr w:type="spellEnd"/>
      <w:r w:rsidR="008F5C8F">
        <w:rPr>
          <w:sz w:val="24"/>
          <w:szCs w:val="24"/>
        </w:rPr>
        <w:t xml:space="preserve">” </w:t>
      </w:r>
      <w:proofErr w:type="spellStart"/>
      <w:r w:rsidR="008F5C8F">
        <w:rPr>
          <w:sz w:val="24"/>
          <w:szCs w:val="24"/>
        </w:rPr>
        <w:t>Београд</w:t>
      </w:r>
      <w:proofErr w:type="spellEnd"/>
      <w:r w:rsidR="008F5C8F">
        <w:rPr>
          <w:sz w:val="24"/>
          <w:szCs w:val="24"/>
        </w:rPr>
        <w:t>,</w:t>
      </w:r>
      <w:r w:rsidR="0000445B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241</cp:revision>
  <cp:lastPrinted>2021-01-27T08:02:00Z</cp:lastPrinted>
  <dcterms:created xsi:type="dcterms:W3CDTF">2016-08-19T09:41:00Z</dcterms:created>
  <dcterms:modified xsi:type="dcterms:W3CDTF">2021-01-27T12:43:00Z</dcterms:modified>
</cp:coreProperties>
</file>