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CB" w:rsidRPr="00772221" w:rsidRDefault="00A52ACB" w:rsidP="00A52ACB">
      <w:pPr>
        <w:pageBreakBefore/>
        <w:rPr>
          <w:b/>
          <w:u w:val="single"/>
        </w:rPr>
      </w:pPr>
    </w:p>
    <w:p w:rsidR="002B093C" w:rsidRPr="002B093C" w:rsidRDefault="002B093C" w:rsidP="002B093C">
      <w:pPr>
        <w:jc w:val="center"/>
        <w:rPr>
          <w:b/>
          <w:sz w:val="28"/>
          <w:szCs w:val="28"/>
        </w:rPr>
      </w:pPr>
      <w:r w:rsidRPr="002B093C">
        <w:rPr>
          <w:b/>
          <w:sz w:val="28"/>
          <w:szCs w:val="28"/>
        </w:rPr>
        <w:t>ОБРАЗАЦ СТРУКТУРЕ ЦЕНЕ СА УПУТСВОМ КАКО ДА СЕ ПОПУНИ</w:t>
      </w:r>
    </w:p>
    <w:p w:rsidR="002B093C" w:rsidRPr="002B093C" w:rsidRDefault="002B093C" w:rsidP="002B093C">
      <w:pPr>
        <w:jc w:val="center"/>
        <w:rPr>
          <w:b/>
          <w:sz w:val="28"/>
          <w:szCs w:val="28"/>
        </w:rPr>
      </w:pPr>
      <w:proofErr w:type="spellStart"/>
      <w:r w:rsidRPr="002B093C">
        <w:rPr>
          <w:b/>
          <w:sz w:val="28"/>
          <w:szCs w:val="28"/>
        </w:rPr>
        <w:t>За</w:t>
      </w:r>
      <w:proofErr w:type="spellEnd"/>
      <w:r w:rsidRPr="002B093C">
        <w:rPr>
          <w:b/>
          <w:sz w:val="28"/>
          <w:szCs w:val="28"/>
        </w:rPr>
        <w:t xml:space="preserve"> </w:t>
      </w:r>
      <w:proofErr w:type="spellStart"/>
      <w:r w:rsidRPr="002B093C">
        <w:rPr>
          <w:b/>
          <w:sz w:val="28"/>
          <w:szCs w:val="28"/>
        </w:rPr>
        <w:t>јавну</w:t>
      </w:r>
      <w:proofErr w:type="spellEnd"/>
      <w:r w:rsidRPr="002B093C">
        <w:rPr>
          <w:b/>
          <w:sz w:val="28"/>
          <w:szCs w:val="28"/>
        </w:rPr>
        <w:t xml:space="preserve"> </w:t>
      </w:r>
      <w:proofErr w:type="spellStart"/>
      <w:r w:rsidRPr="002B093C">
        <w:rPr>
          <w:b/>
          <w:sz w:val="28"/>
          <w:szCs w:val="28"/>
        </w:rPr>
        <w:t>набавку</w:t>
      </w:r>
      <w:proofErr w:type="spellEnd"/>
      <w:r w:rsidRPr="002B093C">
        <w:rPr>
          <w:b/>
          <w:sz w:val="28"/>
          <w:szCs w:val="28"/>
        </w:rPr>
        <w:t xml:space="preserve"> </w:t>
      </w:r>
      <w:proofErr w:type="spellStart"/>
      <w:r w:rsidRPr="002B093C">
        <w:rPr>
          <w:b/>
          <w:sz w:val="28"/>
          <w:szCs w:val="28"/>
        </w:rPr>
        <w:t>број</w:t>
      </w:r>
      <w:proofErr w:type="spellEnd"/>
      <w:r w:rsidRPr="002B093C">
        <w:rPr>
          <w:b/>
          <w:sz w:val="28"/>
          <w:szCs w:val="28"/>
        </w:rPr>
        <w:t xml:space="preserve"> 404-1-</w:t>
      </w:r>
      <w:r>
        <w:rPr>
          <w:b/>
          <w:sz w:val="28"/>
          <w:szCs w:val="28"/>
        </w:rPr>
        <w:t>26</w:t>
      </w:r>
      <w:r w:rsidRPr="002B093C">
        <w:rPr>
          <w:b/>
          <w:sz w:val="28"/>
          <w:szCs w:val="28"/>
        </w:rPr>
        <w:t>/2020</w:t>
      </w:r>
    </w:p>
    <w:p w:rsidR="002B093C" w:rsidRDefault="002B093C" w:rsidP="002B093C">
      <w:pPr>
        <w:jc w:val="center"/>
        <w:rPr>
          <w:b/>
          <w:lang w:val="sr-Cyrl-CS"/>
        </w:rPr>
      </w:pPr>
      <w:r w:rsidRPr="00571117">
        <w:rPr>
          <w:b/>
          <w:lang w:val="sr-Cyrl-CS"/>
        </w:rPr>
        <w:t xml:space="preserve">НАБАВКА </w:t>
      </w:r>
      <w:r>
        <w:rPr>
          <w:b/>
          <w:lang w:val="sr-Cyrl-CS"/>
        </w:rPr>
        <w:t>УСЛУГЕ АГЕНЦИЈЕ ЗА ЗАПОШЉАВАЊЕ РАДНИКА</w:t>
      </w:r>
    </w:p>
    <w:p w:rsidR="00A52ACB" w:rsidRPr="002B093C" w:rsidRDefault="002B093C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80"/>
        </w:tabs>
        <w:spacing w:before="77" w:line="100" w:lineRule="atLeast"/>
        <w:jc w:val="center"/>
        <w:textAlignment w:val="auto"/>
        <w:rPr>
          <w:b/>
          <w:color w:val="auto"/>
          <w:kern w:val="0"/>
          <w:lang w:eastAsia="ar-SA"/>
        </w:rPr>
      </w:pPr>
      <w:proofErr w:type="spellStart"/>
      <w:r>
        <w:rPr>
          <w:b/>
          <w:color w:val="auto"/>
          <w:kern w:val="0"/>
          <w:lang w:eastAsia="ar-SA"/>
        </w:rPr>
        <w:t>Понуђач</w:t>
      </w:r>
      <w:proofErr w:type="spellEnd"/>
      <w:r>
        <w:rPr>
          <w:b/>
          <w:color w:val="auto"/>
          <w:kern w:val="0"/>
          <w:lang w:eastAsia="ar-SA"/>
        </w:rPr>
        <w:t>________________________________________________</w:t>
      </w:r>
    </w:p>
    <w:p w:rsidR="00794E7C" w:rsidRPr="002B093C" w:rsidRDefault="00794E7C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80"/>
        </w:tabs>
        <w:spacing w:before="77" w:line="100" w:lineRule="atLeast"/>
        <w:jc w:val="center"/>
        <w:textAlignment w:val="auto"/>
        <w:rPr>
          <w:color w:val="auto"/>
          <w:kern w:val="0"/>
          <w:lang w:eastAsia="ar-SA"/>
        </w:rPr>
      </w:pPr>
    </w:p>
    <w:tbl>
      <w:tblPr>
        <w:tblpPr w:leftFromText="180" w:rightFromText="180" w:vertAnchor="text" w:tblpX="-324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42"/>
        <w:gridCol w:w="1368"/>
        <w:gridCol w:w="1710"/>
        <w:gridCol w:w="1710"/>
        <w:gridCol w:w="1800"/>
        <w:gridCol w:w="1620"/>
        <w:gridCol w:w="1620"/>
        <w:gridCol w:w="2160"/>
      </w:tblGrid>
      <w:tr w:rsidR="00820387" w:rsidRPr="002B093C" w:rsidTr="00C26456">
        <w:trPr>
          <w:trHeight w:val="1160"/>
        </w:trPr>
        <w:tc>
          <w:tcPr>
            <w:tcW w:w="648" w:type="dxa"/>
            <w:shd w:val="clear" w:color="auto" w:fill="auto"/>
          </w:tcPr>
          <w:p w:rsidR="00820387" w:rsidRPr="002B093C" w:rsidRDefault="00820387" w:rsidP="00FF1616">
            <w:pPr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Ред</w:t>
            </w:r>
            <w:proofErr w:type="spellEnd"/>
          </w:p>
          <w:p w:rsidR="00820387" w:rsidRPr="002B093C" w:rsidRDefault="00820387" w:rsidP="00FF1616">
            <w:pPr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Бр</w:t>
            </w:r>
            <w:proofErr w:type="spellEnd"/>
            <w:r w:rsidRPr="002B093C">
              <w:rPr>
                <w:rFonts w:eastAsia="Calibri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820387" w:rsidRPr="002B093C" w:rsidRDefault="00820387" w:rsidP="00FF1616">
            <w:pPr>
              <w:rPr>
                <w:rFonts w:eastAsia="Calibri"/>
              </w:rPr>
            </w:pPr>
            <w:r w:rsidRPr="002B093C">
              <w:rPr>
                <w:rFonts w:eastAsia="Calibri"/>
              </w:rPr>
              <w:t>ОПИС ПОЗИЦИЈЕ</w:t>
            </w:r>
          </w:p>
        </w:tc>
        <w:tc>
          <w:tcPr>
            <w:tcW w:w="1368" w:type="dxa"/>
            <w:shd w:val="clear" w:color="auto" w:fill="auto"/>
          </w:tcPr>
          <w:p w:rsidR="002B093C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Оквирни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</w:p>
          <w:p w:rsidR="002B093C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број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</w:p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извршилаца</w:t>
            </w:r>
            <w:proofErr w:type="spellEnd"/>
          </w:p>
        </w:tc>
        <w:tc>
          <w:tcPr>
            <w:tcW w:w="1710" w:type="dxa"/>
          </w:tcPr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Нето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накнада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за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једног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извршиоца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на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месечном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нивоу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Бруто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накнада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за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једног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извшиоца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на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месечном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нивоу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Провизија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агенције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по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извршиоцуизражена</w:t>
            </w:r>
            <w:proofErr w:type="spellEnd"/>
            <w:r w:rsidRPr="002B093C">
              <w:rPr>
                <w:rFonts w:eastAsia="Calibri"/>
              </w:rPr>
              <w:t xml:space="preserve"> у </w:t>
            </w:r>
            <w:proofErr w:type="spellStart"/>
            <w:r w:rsidRPr="002B093C">
              <w:rPr>
                <w:rFonts w:eastAsia="Calibri"/>
              </w:rPr>
              <w:t>динарима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без</w:t>
            </w:r>
            <w:proofErr w:type="spellEnd"/>
            <w:r w:rsidRPr="002B093C">
              <w:rPr>
                <w:rFonts w:eastAsia="Calibri"/>
              </w:rPr>
              <w:t xml:space="preserve"> ПДВ-а</w:t>
            </w:r>
          </w:p>
        </w:tc>
        <w:tc>
          <w:tcPr>
            <w:tcW w:w="1620" w:type="dxa"/>
          </w:tcPr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Провизија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агенције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по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извршиоцу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изражена</w:t>
            </w:r>
            <w:proofErr w:type="spellEnd"/>
            <w:r w:rsidRPr="002B093C">
              <w:rPr>
                <w:rFonts w:eastAsia="Calibri"/>
              </w:rPr>
              <w:t xml:space="preserve"> у </w:t>
            </w:r>
            <w:proofErr w:type="spellStart"/>
            <w:r w:rsidRPr="002B093C">
              <w:rPr>
                <w:rFonts w:eastAsia="Calibri"/>
              </w:rPr>
              <w:t>динарима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са</w:t>
            </w:r>
            <w:proofErr w:type="spellEnd"/>
            <w:r w:rsidRPr="002B093C">
              <w:rPr>
                <w:rFonts w:eastAsia="Calibri"/>
              </w:rPr>
              <w:t xml:space="preserve"> ПДВ-</w:t>
            </w:r>
            <w:proofErr w:type="spellStart"/>
            <w:r w:rsidRPr="002B093C">
              <w:rPr>
                <w:rFonts w:eastAsia="Calibri"/>
              </w:rPr>
              <w:t>ом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Укупан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збир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свих</w:t>
            </w:r>
            <w:proofErr w:type="spellEnd"/>
          </w:p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трошкова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за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раднике</w:t>
            </w:r>
            <w:proofErr w:type="spellEnd"/>
            <w:r w:rsidRPr="002B093C">
              <w:rPr>
                <w:rFonts w:eastAsia="Calibri"/>
              </w:rPr>
              <w:t xml:space="preserve"> и </w:t>
            </w:r>
            <w:proofErr w:type="spellStart"/>
            <w:r w:rsidRPr="002B093C">
              <w:rPr>
                <w:rFonts w:eastAsia="Calibri"/>
              </w:rPr>
              <w:t>провизија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без</w:t>
            </w:r>
            <w:proofErr w:type="spellEnd"/>
            <w:r w:rsidRPr="002B093C">
              <w:rPr>
                <w:rFonts w:eastAsia="Calibri"/>
              </w:rPr>
              <w:t xml:space="preserve"> ПДВ-а </w:t>
            </w:r>
          </w:p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</w:p>
        </w:tc>
        <w:tc>
          <w:tcPr>
            <w:tcW w:w="2160" w:type="dxa"/>
          </w:tcPr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Укупан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збир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свих</w:t>
            </w:r>
            <w:proofErr w:type="spellEnd"/>
          </w:p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трошкова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за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раднике</w:t>
            </w:r>
            <w:proofErr w:type="spellEnd"/>
            <w:r w:rsidRPr="002B093C">
              <w:rPr>
                <w:rFonts w:eastAsia="Calibri"/>
              </w:rPr>
              <w:t xml:space="preserve"> и </w:t>
            </w:r>
            <w:proofErr w:type="spellStart"/>
            <w:r w:rsidRPr="002B093C">
              <w:rPr>
                <w:rFonts w:eastAsia="Calibri"/>
              </w:rPr>
              <w:t>провизија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са</w:t>
            </w:r>
            <w:proofErr w:type="spellEnd"/>
            <w:r w:rsidRPr="002B093C">
              <w:rPr>
                <w:rFonts w:eastAsia="Calibri"/>
              </w:rPr>
              <w:t xml:space="preserve"> ПДВ-</w:t>
            </w:r>
            <w:proofErr w:type="spellStart"/>
            <w:r w:rsidRPr="002B093C">
              <w:rPr>
                <w:rFonts w:eastAsia="Calibri"/>
              </w:rPr>
              <w:t>ом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</w:p>
          <w:p w:rsidR="00820387" w:rsidRPr="002B093C" w:rsidRDefault="00820387" w:rsidP="00FF1616">
            <w:pPr>
              <w:jc w:val="both"/>
              <w:rPr>
                <w:rFonts w:eastAsia="Calibri"/>
              </w:rPr>
            </w:pPr>
          </w:p>
        </w:tc>
      </w:tr>
      <w:tr w:rsidR="00820387" w:rsidRPr="002B093C" w:rsidTr="00C26456">
        <w:trPr>
          <w:trHeight w:val="346"/>
        </w:trPr>
        <w:tc>
          <w:tcPr>
            <w:tcW w:w="648" w:type="dxa"/>
            <w:shd w:val="clear" w:color="auto" w:fill="auto"/>
          </w:tcPr>
          <w:p w:rsidR="00820387" w:rsidRPr="002B093C" w:rsidRDefault="002B093C" w:rsidP="002B093C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1</w:t>
            </w:r>
          </w:p>
        </w:tc>
        <w:tc>
          <w:tcPr>
            <w:tcW w:w="2142" w:type="dxa"/>
            <w:shd w:val="clear" w:color="auto" w:fill="auto"/>
          </w:tcPr>
          <w:p w:rsidR="00820387" w:rsidRPr="002B093C" w:rsidRDefault="002B093C" w:rsidP="002B093C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820387" w:rsidRPr="002B093C" w:rsidRDefault="002B093C" w:rsidP="002B093C">
            <w:pPr>
              <w:tabs>
                <w:tab w:val="left" w:pos="541"/>
                <w:tab w:val="center" w:pos="801"/>
              </w:tabs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3</w:t>
            </w:r>
          </w:p>
        </w:tc>
        <w:tc>
          <w:tcPr>
            <w:tcW w:w="1710" w:type="dxa"/>
          </w:tcPr>
          <w:p w:rsidR="00820387" w:rsidRPr="002B093C" w:rsidRDefault="002B093C" w:rsidP="002B093C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820387" w:rsidRPr="002B093C" w:rsidRDefault="002B093C" w:rsidP="002B093C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820387" w:rsidRPr="002B093C" w:rsidRDefault="002B093C" w:rsidP="002B093C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6</w:t>
            </w:r>
          </w:p>
        </w:tc>
        <w:tc>
          <w:tcPr>
            <w:tcW w:w="1620" w:type="dxa"/>
          </w:tcPr>
          <w:p w:rsidR="00820387" w:rsidRPr="002B093C" w:rsidRDefault="002B093C" w:rsidP="002B093C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820387" w:rsidRPr="002B093C" w:rsidRDefault="002B093C" w:rsidP="002B093C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8</w:t>
            </w:r>
            <w:r w:rsidR="00C26456">
              <w:rPr>
                <w:rFonts w:eastAsia="Calibri"/>
              </w:rPr>
              <w:t>=(5</w:t>
            </w:r>
            <w:r>
              <w:rPr>
                <w:rFonts w:eastAsia="Calibri"/>
              </w:rPr>
              <w:t>+6)</w:t>
            </w:r>
          </w:p>
        </w:tc>
        <w:tc>
          <w:tcPr>
            <w:tcW w:w="2160" w:type="dxa"/>
          </w:tcPr>
          <w:p w:rsidR="00820387" w:rsidRPr="002B093C" w:rsidRDefault="002B093C" w:rsidP="002B093C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9</w:t>
            </w:r>
            <w:r>
              <w:rPr>
                <w:rFonts w:eastAsia="Calibri"/>
              </w:rPr>
              <w:t>=(5+7)</w:t>
            </w:r>
          </w:p>
        </w:tc>
      </w:tr>
      <w:tr w:rsidR="00820387" w:rsidRPr="002B093C" w:rsidTr="00C26456">
        <w:trPr>
          <w:trHeight w:val="998"/>
        </w:trPr>
        <w:tc>
          <w:tcPr>
            <w:tcW w:w="648" w:type="dxa"/>
            <w:shd w:val="clear" w:color="auto" w:fill="auto"/>
          </w:tcPr>
          <w:p w:rsidR="00820387" w:rsidRPr="002B093C" w:rsidRDefault="00820387" w:rsidP="00FF1616">
            <w:pPr>
              <w:rPr>
                <w:rFonts w:eastAsia="Calibri"/>
              </w:rPr>
            </w:pPr>
            <w:r w:rsidRPr="002B093C">
              <w:rPr>
                <w:rFonts w:eastAsia="Calibri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820387" w:rsidRPr="002B093C" w:rsidRDefault="00820387" w:rsidP="00794E7C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Услуга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ангажовања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радника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на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одржавању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хигијене</w:t>
            </w:r>
            <w:proofErr w:type="spellEnd"/>
            <w:r w:rsidRPr="002B093C">
              <w:rPr>
                <w:rFonts w:eastAsia="Calibri"/>
              </w:rPr>
              <w:t xml:space="preserve"> у </w:t>
            </w:r>
            <w:proofErr w:type="spellStart"/>
            <w:r w:rsidRPr="002B093C">
              <w:rPr>
                <w:rFonts w:eastAsia="Calibri"/>
              </w:rPr>
              <w:t>објектима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1</w:t>
            </w:r>
          </w:p>
        </w:tc>
        <w:tc>
          <w:tcPr>
            <w:tcW w:w="1710" w:type="dxa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32.000,00</w:t>
            </w:r>
          </w:p>
        </w:tc>
        <w:tc>
          <w:tcPr>
            <w:tcW w:w="171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</w:tcPr>
          <w:p w:rsidR="00820387" w:rsidRPr="002B093C" w:rsidRDefault="00820387" w:rsidP="00FF1616">
            <w:pPr>
              <w:rPr>
                <w:rFonts w:eastAsia="Calibri"/>
              </w:rPr>
            </w:pPr>
          </w:p>
        </w:tc>
      </w:tr>
      <w:tr w:rsidR="00820387" w:rsidRPr="002B093C" w:rsidTr="00C26456">
        <w:trPr>
          <w:trHeight w:val="967"/>
        </w:trPr>
        <w:tc>
          <w:tcPr>
            <w:tcW w:w="648" w:type="dxa"/>
            <w:shd w:val="clear" w:color="auto" w:fill="auto"/>
          </w:tcPr>
          <w:p w:rsidR="00820387" w:rsidRPr="002B093C" w:rsidRDefault="00820387" w:rsidP="00FF1616">
            <w:pPr>
              <w:rPr>
                <w:rFonts w:eastAsia="Calibri"/>
              </w:rPr>
            </w:pPr>
            <w:r w:rsidRPr="002B093C">
              <w:rPr>
                <w:rFonts w:eastAsia="Calibri"/>
              </w:rPr>
              <w:t>2.</w:t>
            </w:r>
          </w:p>
        </w:tc>
        <w:tc>
          <w:tcPr>
            <w:tcW w:w="2142" w:type="dxa"/>
            <w:shd w:val="clear" w:color="auto" w:fill="auto"/>
          </w:tcPr>
          <w:p w:rsidR="00820387" w:rsidRPr="002B093C" w:rsidRDefault="00820387" w:rsidP="002B093C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Услуга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ангажовања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радника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за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обављање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неквалификованих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послова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1</w:t>
            </w:r>
          </w:p>
        </w:tc>
        <w:tc>
          <w:tcPr>
            <w:tcW w:w="1710" w:type="dxa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32.000,00</w:t>
            </w:r>
          </w:p>
        </w:tc>
        <w:tc>
          <w:tcPr>
            <w:tcW w:w="171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</w:tcPr>
          <w:p w:rsidR="00820387" w:rsidRPr="002B093C" w:rsidRDefault="00820387" w:rsidP="00FF1616">
            <w:pPr>
              <w:rPr>
                <w:rFonts w:eastAsia="Calibri"/>
              </w:rPr>
            </w:pPr>
          </w:p>
        </w:tc>
      </w:tr>
      <w:tr w:rsidR="00820387" w:rsidRPr="002B093C" w:rsidTr="00C26456">
        <w:trPr>
          <w:trHeight w:val="350"/>
        </w:trPr>
        <w:tc>
          <w:tcPr>
            <w:tcW w:w="648" w:type="dxa"/>
            <w:shd w:val="clear" w:color="auto" w:fill="auto"/>
          </w:tcPr>
          <w:p w:rsidR="00820387" w:rsidRPr="002B093C" w:rsidRDefault="00820387" w:rsidP="00FF1616">
            <w:pPr>
              <w:rPr>
                <w:rFonts w:eastAsia="Calibri"/>
              </w:rPr>
            </w:pPr>
            <w:r w:rsidRPr="002B093C">
              <w:rPr>
                <w:rFonts w:eastAsia="Calibri"/>
              </w:rPr>
              <w:t>3.</w:t>
            </w:r>
          </w:p>
        </w:tc>
        <w:tc>
          <w:tcPr>
            <w:tcW w:w="2142" w:type="dxa"/>
            <w:shd w:val="clear" w:color="auto" w:fill="auto"/>
          </w:tcPr>
          <w:p w:rsidR="00820387" w:rsidRPr="002B093C" w:rsidRDefault="00820387" w:rsidP="002B093C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Стручне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административне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услуге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четвртим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степеном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стручне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lastRenderedPageBreak/>
              <w:t>спреме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lastRenderedPageBreak/>
              <w:t>1</w:t>
            </w:r>
          </w:p>
        </w:tc>
        <w:tc>
          <w:tcPr>
            <w:tcW w:w="1710" w:type="dxa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32.000,00</w:t>
            </w:r>
          </w:p>
        </w:tc>
        <w:tc>
          <w:tcPr>
            <w:tcW w:w="171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</w:tcPr>
          <w:p w:rsidR="00820387" w:rsidRPr="002B093C" w:rsidRDefault="00820387" w:rsidP="00FF1616">
            <w:pPr>
              <w:rPr>
                <w:rFonts w:eastAsia="Calibri"/>
              </w:rPr>
            </w:pPr>
          </w:p>
        </w:tc>
      </w:tr>
      <w:tr w:rsidR="00820387" w:rsidRPr="002B093C" w:rsidTr="00C26456">
        <w:trPr>
          <w:trHeight w:val="1088"/>
        </w:trPr>
        <w:tc>
          <w:tcPr>
            <w:tcW w:w="648" w:type="dxa"/>
            <w:shd w:val="clear" w:color="auto" w:fill="auto"/>
          </w:tcPr>
          <w:p w:rsidR="00820387" w:rsidRPr="002B093C" w:rsidRDefault="00820387" w:rsidP="00FF1616">
            <w:pPr>
              <w:rPr>
                <w:rFonts w:eastAsia="Calibri"/>
              </w:rPr>
            </w:pPr>
            <w:r w:rsidRPr="002B093C">
              <w:rPr>
                <w:rFonts w:eastAsia="Calibri"/>
              </w:rPr>
              <w:t>4.</w:t>
            </w:r>
          </w:p>
        </w:tc>
        <w:tc>
          <w:tcPr>
            <w:tcW w:w="2142" w:type="dxa"/>
            <w:shd w:val="clear" w:color="auto" w:fill="auto"/>
          </w:tcPr>
          <w:p w:rsidR="00820387" w:rsidRPr="002B093C" w:rsidRDefault="00820387" w:rsidP="002B093C">
            <w:pPr>
              <w:jc w:val="both"/>
              <w:rPr>
                <w:rFonts w:eastAsia="Calibri"/>
              </w:rPr>
            </w:pPr>
            <w:proofErr w:type="spellStart"/>
            <w:r w:rsidRPr="002B093C">
              <w:rPr>
                <w:rFonts w:eastAsia="Calibri"/>
              </w:rPr>
              <w:t>Сложене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административне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услуге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са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седмим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степеном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стручне</w:t>
            </w:r>
            <w:proofErr w:type="spellEnd"/>
            <w:r w:rsidRPr="002B093C">
              <w:rPr>
                <w:rFonts w:eastAsia="Calibri"/>
              </w:rPr>
              <w:t xml:space="preserve"> </w:t>
            </w:r>
            <w:proofErr w:type="spellStart"/>
            <w:r w:rsidRPr="002B093C">
              <w:rPr>
                <w:rFonts w:eastAsia="Calibri"/>
              </w:rPr>
              <w:t>спреме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1</w:t>
            </w:r>
          </w:p>
        </w:tc>
        <w:tc>
          <w:tcPr>
            <w:tcW w:w="1710" w:type="dxa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  <w:r w:rsidRPr="002B093C">
              <w:rPr>
                <w:rFonts w:eastAsia="Calibri"/>
              </w:rPr>
              <w:t>42.000,00</w:t>
            </w:r>
          </w:p>
        </w:tc>
        <w:tc>
          <w:tcPr>
            <w:tcW w:w="171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20387" w:rsidRPr="002B093C" w:rsidRDefault="00820387" w:rsidP="00FF1616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</w:tcPr>
          <w:p w:rsidR="00820387" w:rsidRPr="002B093C" w:rsidRDefault="00820387" w:rsidP="00FF1616">
            <w:pPr>
              <w:rPr>
                <w:rFonts w:eastAsia="Calibri"/>
              </w:rPr>
            </w:pPr>
          </w:p>
        </w:tc>
      </w:tr>
    </w:tbl>
    <w:p w:rsidR="00FF1616" w:rsidRPr="00DF33F4" w:rsidRDefault="00FF1616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  <w:textAlignment w:val="auto"/>
        <w:rPr>
          <w:b/>
          <w:color w:val="auto"/>
          <w:kern w:val="0"/>
          <w:lang w:eastAsia="ar-SA"/>
        </w:rPr>
      </w:pPr>
    </w:p>
    <w:p w:rsidR="00A52ACB" w:rsidRPr="00F10C4E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  <w:textAlignment w:val="auto"/>
        <w:rPr>
          <w:rFonts w:cs="Cambria"/>
          <w:color w:val="auto"/>
          <w:kern w:val="0"/>
          <w:lang w:eastAsia="ar-SA"/>
        </w:rPr>
      </w:pPr>
      <w:r w:rsidRPr="00F10C4E">
        <w:rPr>
          <w:b/>
          <w:color w:val="auto"/>
          <w:kern w:val="0"/>
          <w:lang w:val="ru-RU" w:eastAsia="ar-SA"/>
        </w:rPr>
        <w:t>Цена треба да буде изражена тако да обухвати све трошкове које понуђач има у реализацији предметне јавне набавке.</w:t>
      </w:r>
    </w:p>
    <w:p w:rsidR="00A52ACB" w:rsidRPr="00961F9A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  <w:textAlignment w:val="auto"/>
        <w:rPr>
          <w:b/>
          <w:color w:val="auto"/>
          <w:kern w:val="0"/>
          <w:lang w:eastAsia="ar-SA"/>
        </w:rPr>
      </w:pPr>
      <w:r w:rsidRPr="00F10C4E">
        <w:rPr>
          <w:rFonts w:cs="Cambria"/>
          <w:color w:val="auto"/>
          <w:kern w:val="0"/>
          <w:lang w:eastAsia="ar-SA"/>
        </w:rPr>
        <w:t xml:space="preserve"> (У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цену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треба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да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буду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укључени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трошкови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бруто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зарада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,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тр</w:t>
      </w:r>
      <w:r w:rsidR="00F55B30">
        <w:rPr>
          <w:rFonts w:cs="Cambria"/>
          <w:color w:val="auto"/>
          <w:kern w:val="0"/>
          <w:lang w:eastAsia="ar-SA"/>
        </w:rPr>
        <w:t>ошкови</w:t>
      </w:r>
      <w:proofErr w:type="spellEnd"/>
      <w:r w:rsidR="00F55B30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cs="Cambria"/>
          <w:color w:val="auto"/>
          <w:kern w:val="0"/>
          <w:lang w:eastAsia="ar-SA"/>
        </w:rPr>
        <w:t>лекарских</w:t>
      </w:r>
      <w:proofErr w:type="spellEnd"/>
      <w:r w:rsidR="00F55B30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cs="Cambria"/>
          <w:color w:val="auto"/>
          <w:kern w:val="0"/>
          <w:lang w:eastAsia="ar-SA"/>
        </w:rPr>
        <w:t>прегледа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,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провизија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и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потребна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опрема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за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Cambria"/>
          <w:color w:val="auto"/>
          <w:kern w:val="0"/>
          <w:lang w:eastAsia="ar-SA"/>
        </w:rPr>
        <w:t>извршавање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</w:t>
      </w:r>
      <w:proofErr w:type="spellStart"/>
      <w:proofErr w:type="gramStart"/>
      <w:r w:rsidRPr="00F10C4E">
        <w:rPr>
          <w:rFonts w:cs="Cambria"/>
          <w:color w:val="auto"/>
          <w:kern w:val="0"/>
          <w:lang w:eastAsia="ar-SA"/>
        </w:rPr>
        <w:t>услуга</w:t>
      </w:r>
      <w:proofErr w:type="spellEnd"/>
      <w:r w:rsidRPr="00F10C4E">
        <w:rPr>
          <w:rFonts w:cs="Cambria"/>
          <w:color w:val="auto"/>
          <w:kern w:val="0"/>
          <w:lang w:eastAsia="ar-SA"/>
        </w:rPr>
        <w:t xml:space="preserve"> )</w:t>
      </w:r>
      <w:proofErr w:type="gramEnd"/>
    </w:p>
    <w:p w:rsidR="00CA34D5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b/>
          <w:color w:val="auto"/>
          <w:kern w:val="0"/>
          <w:lang w:eastAsia="ar-SA"/>
        </w:rPr>
      </w:pPr>
      <w:proofErr w:type="spellStart"/>
      <w:r w:rsidRPr="000A0048">
        <w:rPr>
          <w:b/>
          <w:color w:val="auto"/>
          <w:kern w:val="0"/>
          <w:lang w:eastAsia="ar-SA"/>
        </w:rPr>
        <w:t>Укупна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вредност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proofErr w:type="gramStart"/>
      <w:r w:rsidRPr="000A0048">
        <w:rPr>
          <w:b/>
          <w:color w:val="auto"/>
          <w:kern w:val="0"/>
          <w:lang w:eastAsia="ar-SA"/>
        </w:rPr>
        <w:t>набавке</w:t>
      </w:r>
      <w:proofErr w:type="spellEnd"/>
      <w:r w:rsidRPr="000A0048">
        <w:rPr>
          <w:b/>
          <w:color w:val="auto"/>
          <w:kern w:val="0"/>
          <w:lang w:eastAsia="ar-SA"/>
        </w:rPr>
        <w:t xml:space="preserve">  </w:t>
      </w:r>
      <w:proofErr w:type="spellStart"/>
      <w:r w:rsidRPr="000A0048">
        <w:rPr>
          <w:b/>
          <w:color w:val="auto"/>
          <w:kern w:val="0"/>
          <w:lang w:eastAsia="ar-SA"/>
        </w:rPr>
        <w:t>за</w:t>
      </w:r>
      <w:proofErr w:type="spellEnd"/>
      <w:proofErr w:type="gram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оквирн</w:t>
      </w:r>
      <w:r w:rsidR="00F55B30">
        <w:rPr>
          <w:b/>
          <w:color w:val="auto"/>
          <w:kern w:val="0"/>
          <w:lang w:eastAsia="ar-SA"/>
        </w:rPr>
        <w:t>и</w:t>
      </w:r>
      <w:proofErr w:type="spellEnd"/>
      <w:r w:rsidR="00F55B30">
        <w:rPr>
          <w:b/>
          <w:color w:val="auto"/>
          <w:kern w:val="0"/>
          <w:lang w:eastAsia="ar-SA"/>
        </w:rPr>
        <w:t xml:space="preserve"> </w:t>
      </w:r>
      <w:proofErr w:type="spellStart"/>
      <w:r w:rsidR="00F55B30">
        <w:rPr>
          <w:b/>
          <w:color w:val="auto"/>
          <w:kern w:val="0"/>
          <w:lang w:eastAsia="ar-SA"/>
        </w:rPr>
        <w:t>број</w:t>
      </w:r>
      <w:proofErr w:type="spellEnd"/>
      <w:r w:rsidR="00F55B30">
        <w:rPr>
          <w:b/>
          <w:color w:val="auto"/>
          <w:kern w:val="0"/>
          <w:lang w:eastAsia="ar-SA"/>
        </w:rPr>
        <w:t xml:space="preserve"> </w:t>
      </w:r>
      <w:proofErr w:type="spellStart"/>
      <w:r w:rsidR="00F55B30">
        <w:rPr>
          <w:b/>
          <w:color w:val="auto"/>
          <w:kern w:val="0"/>
          <w:lang w:eastAsia="ar-SA"/>
        </w:rPr>
        <w:t>ангажованих</w:t>
      </w:r>
      <w:proofErr w:type="spellEnd"/>
      <w:r w:rsidR="00F55B30">
        <w:rPr>
          <w:b/>
          <w:color w:val="auto"/>
          <w:kern w:val="0"/>
          <w:lang w:eastAsia="ar-SA"/>
        </w:rPr>
        <w:t xml:space="preserve"> </w:t>
      </w:r>
      <w:proofErr w:type="spellStart"/>
      <w:r w:rsidR="00F55B30">
        <w:rPr>
          <w:b/>
          <w:color w:val="auto"/>
          <w:kern w:val="0"/>
          <w:lang w:eastAsia="ar-SA"/>
        </w:rPr>
        <w:t>радника</w:t>
      </w:r>
      <w:proofErr w:type="spellEnd"/>
      <w:r w:rsidR="00F55B30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без</w:t>
      </w:r>
      <w:proofErr w:type="spellEnd"/>
      <w:r w:rsidRPr="000A0048">
        <w:rPr>
          <w:b/>
          <w:color w:val="auto"/>
          <w:kern w:val="0"/>
          <w:lang w:eastAsia="ar-SA"/>
        </w:rPr>
        <w:t xml:space="preserve"> ПДВ-а </w:t>
      </w:r>
      <w:proofErr w:type="spellStart"/>
      <w:r w:rsidRPr="000A0048">
        <w:rPr>
          <w:b/>
          <w:color w:val="auto"/>
          <w:kern w:val="0"/>
          <w:lang w:eastAsia="ar-SA"/>
        </w:rPr>
        <w:t>на</w:t>
      </w:r>
      <w:proofErr w:type="spellEnd"/>
      <w:r w:rsidRPr="000A0048">
        <w:rPr>
          <w:b/>
          <w:color w:val="auto"/>
          <w:kern w:val="0"/>
          <w:lang w:eastAsia="ar-SA"/>
        </w:rPr>
        <w:t xml:space="preserve">   </w:t>
      </w:r>
      <w:proofErr w:type="spellStart"/>
      <w:r w:rsidRPr="000A0048">
        <w:rPr>
          <w:b/>
          <w:color w:val="auto"/>
          <w:kern w:val="0"/>
          <w:lang w:eastAsia="ar-SA"/>
        </w:rPr>
        <w:t>месечном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нивоу</w:t>
      </w:r>
      <w:proofErr w:type="spellEnd"/>
      <w:r w:rsidRPr="000A0048">
        <w:rPr>
          <w:b/>
          <w:color w:val="auto"/>
          <w:kern w:val="0"/>
          <w:lang w:eastAsia="ar-SA"/>
        </w:rPr>
        <w:t xml:space="preserve"> (</w:t>
      </w:r>
      <w:proofErr w:type="spellStart"/>
      <w:r w:rsidRPr="000A0048">
        <w:rPr>
          <w:b/>
          <w:color w:val="auto"/>
          <w:kern w:val="0"/>
          <w:lang w:eastAsia="ar-SA"/>
        </w:rPr>
        <w:t>словима</w:t>
      </w:r>
      <w:proofErr w:type="spellEnd"/>
      <w:r w:rsidRPr="000A0048">
        <w:rPr>
          <w:b/>
          <w:color w:val="auto"/>
          <w:kern w:val="0"/>
          <w:lang w:eastAsia="ar-SA"/>
        </w:rPr>
        <w:t xml:space="preserve">): </w:t>
      </w:r>
    </w:p>
    <w:p w:rsidR="00A52ACB" w:rsidRPr="000A0048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  <w:r w:rsidRPr="000A0048">
        <w:rPr>
          <w:b/>
          <w:color w:val="auto"/>
          <w:kern w:val="0"/>
          <w:lang w:eastAsia="ar-SA"/>
        </w:rPr>
        <w:t xml:space="preserve"> </w:t>
      </w:r>
    </w:p>
    <w:p w:rsidR="00A52ACB" w:rsidRPr="000A0048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  <w:r w:rsidRPr="000A0048">
        <w:rPr>
          <w:color w:val="auto"/>
          <w:kern w:val="0"/>
          <w:lang w:eastAsia="ar-SA"/>
        </w:rPr>
        <w:t>________________________________________________________________</w:t>
      </w:r>
    </w:p>
    <w:p w:rsidR="00A52ACB" w:rsidRPr="00EE51B5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highlight w:val="yellow"/>
          <w:lang w:eastAsia="ar-SA"/>
        </w:rPr>
      </w:pPr>
    </w:p>
    <w:p w:rsidR="00A52ACB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b/>
          <w:color w:val="auto"/>
          <w:kern w:val="0"/>
          <w:lang w:eastAsia="ar-SA"/>
        </w:rPr>
      </w:pPr>
      <w:proofErr w:type="spellStart"/>
      <w:r w:rsidRPr="000A0048">
        <w:rPr>
          <w:b/>
          <w:color w:val="auto"/>
          <w:kern w:val="0"/>
          <w:lang w:eastAsia="ar-SA"/>
        </w:rPr>
        <w:t>Укупна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вредност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набавке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за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оквирн</w:t>
      </w:r>
      <w:r w:rsidR="00F55B30">
        <w:rPr>
          <w:b/>
          <w:color w:val="auto"/>
          <w:kern w:val="0"/>
          <w:lang w:eastAsia="ar-SA"/>
        </w:rPr>
        <w:t>и</w:t>
      </w:r>
      <w:proofErr w:type="spellEnd"/>
      <w:r w:rsidR="00F55B30">
        <w:rPr>
          <w:b/>
          <w:color w:val="auto"/>
          <w:kern w:val="0"/>
          <w:lang w:eastAsia="ar-SA"/>
        </w:rPr>
        <w:t xml:space="preserve"> </w:t>
      </w:r>
      <w:proofErr w:type="spellStart"/>
      <w:r w:rsidR="00F55B30">
        <w:rPr>
          <w:b/>
          <w:color w:val="auto"/>
          <w:kern w:val="0"/>
          <w:lang w:eastAsia="ar-SA"/>
        </w:rPr>
        <w:t>број</w:t>
      </w:r>
      <w:proofErr w:type="spellEnd"/>
      <w:r w:rsidR="00F55B30">
        <w:rPr>
          <w:b/>
          <w:color w:val="auto"/>
          <w:kern w:val="0"/>
          <w:lang w:eastAsia="ar-SA"/>
        </w:rPr>
        <w:t xml:space="preserve"> </w:t>
      </w:r>
      <w:proofErr w:type="spellStart"/>
      <w:r w:rsidR="00F55B30">
        <w:rPr>
          <w:b/>
          <w:color w:val="auto"/>
          <w:kern w:val="0"/>
          <w:lang w:eastAsia="ar-SA"/>
        </w:rPr>
        <w:t>ангажованих</w:t>
      </w:r>
      <w:proofErr w:type="spellEnd"/>
      <w:r w:rsidR="00CA34D5">
        <w:rPr>
          <w:b/>
          <w:color w:val="auto"/>
          <w:kern w:val="0"/>
          <w:lang w:eastAsia="ar-SA"/>
        </w:rPr>
        <w:t xml:space="preserve"> </w:t>
      </w:r>
      <w:proofErr w:type="spellStart"/>
      <w:proofErr w:type="gramStart"/>
      <w:r w:rsidR="00CA34D5">
        <w:rPr>
          <w:b/>
          <w:color w:val="auto"/>
          <w:kern w:val="0"/>
          <w:lang w:eastAsia="ar-SA"/>
        </w:rPr>
        <w:t>радника</w:t>
      </w:r>
      <w:proofErr w:type="spellEnd"/>
      <w:r w:rsidR="00CA34D5">
        <w:rPr>
          <w:b/>
          <w:color w:val="auto"/>
          <w:kern w:val="0"/>
          <w:lang w:eastAsia="ar-SA"/>
        </w:rPr>
        <w:t xml:space="preserve"> </w:t>
      </w:r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са</w:t>
      </w:r>
      <w:proofErr w:type="spellEnd"/>
      <w:proofErr w:type="gramEnd"/>
      <w:r w:rsidRPr="000A0048">
        <w:rPr>
          <w:b/>
          <w:color w:val="auto"/>
          <w:kern w:val="0"/>
          <w:lang w:eastAsia="ar-SA"/>
        </w:rPr>
        <w:t xml:space="preserve">  ПДВ-</w:t>
      </w:r>
      <w:proofErr w:type="spellStart"/>
      <w:r w:rsidRPr="000A0048">
        <w:rPr>
          <w:b/>
          <w:color w:val="auto"/>
          <w:kern w:val="0"/>
          <w:lang w:eastAsia="ar-SA"/>
        </w:rPr>
        <w:t>ом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на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месечном</w:t>
      </w:r>
      <w:proofErr w:type="spellEnd"/>
      <w:r w:rsidRPr="000A0048">
        <w:rPr>
          <w:b/>
          <w:color w:val="auto"/>
          <w:kern w:val="0"/>
          <w:lang w:eastAsia="ar-SA"/>
        </w:rPr>
        <w:t xml:space="preserve"> </w:t>
      </w:r>
      <w:proofErr w:type="spellStart"/>
      <w:r w:rsidRPr="000A0048">
        <w:rPr>
          <w:b/>
          <w:color w:val="auto"/>
          <w:kern w:val="0"/>
          <w:lang w:eastAsia="ar-SA"/>
        </w:rPr>
        <w:t>нивоу</w:t>
      </w:r>
      <w:proofErr w:type="spellEnd"/>
      <w:r w:rsidRPr="000A0048">
        <w:rPr>
          <w:b/>
          <w:color w:val="auto"/>
          <w:kern w:val="0"/>
          <w:lang w:eastAsia="ar-SA"/>
        </w:rPr>
        <w:t xml:space="preserve"> (</w:t>
      </w:r>
      <w:proofErr w:type="spellStart"/>
      <w:r w:rsidRPr="000A0048">
        <w:rPr>
          <w:b/>
          <w:color w:val="auto"/>
          <w:kern w:val="0"/>
          <w:lang w:eastAsia="ar-SA"/>
        </w:rPr>
        <w:t>словима</w:t>
      </w:r>
      <w:proofErr w:type="spellEnd"/>
      <w:r w:rsidRPr="000A0048">
        <w:rPr>
          <w:b/>
          <w:color w:val="auto"/>
          <w:kern w:val="0"/>
          <w:lang w:eastAsia="ar-SA"/>
        </w:rPr>
        <w:t>):</w:t>
      </w:r>
    </w:p>
    <w:p w:rsidR="00CA34D5" w:rsidRPr="000A0048" w:rsidRDefault="00CA34D5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</w:p>
    <w:p w:rsidR="00A52ACB" w:rsidRPr="00961F9A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  <w:r w:rsidRPr="000A0048">
        <w:rPr>
          <w:color w:val="auto"/>
          <w:kern w:val="0"/>
          <w:lang w:eastAsia="ar-SA"/>
        </w:rPr>
        <w:t>_________________________________________________________________</w:t>
      </w:r>
    </w:p>
    <w:p w:rsidR="00A52ACB" w:rsidRPr="00961F9A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</w:p>
    <w:p w:rsidR="00A52ACB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  <w:proofErr w:type="spellStart"/>
      <w:r w:rsidRPr="00961F9A">
        <w:rPr>
          <w:b/>
          <w:color w:val="auto"/>
          <w:kern w:val="0"/>
          <w:lang w:eastAsia="ar-SA"/>
        </w:rPr>
        <w:t>Рок</w:t>
      </w:r>
      <w:proofErr w:type="spellEnd"/>
      <w:r w:rsidRPr="00961F9A">
        <w:rPr>
          <w:b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b/>
          <w:color w:val="auto"/>
          <w:kern w:val="0"/>
          <w:lang w:eastAsia="ar-SA"/>
        </w:rPr>
        <w:t>извршења</w:t>
      </w:r>
      <w:proofErr w:type="spellEnd"/>
      <w:r w:rsidRPr="00F10C4E">
        <w:rPr>
          <w:b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b/>
          <w:color w:val="auto"/>
          <w:kern w:val="0"/>
          <w:lang w:eastAsia="ar-SA"/>
        </w:rPr>
        <w:t>услуге</w:t>
      </w:r>
      <w:proofErr w:type="spellEnd"/>
      <w:r w:rsidRPr="00961F9A">
        <w:rPr>
          <w:b/>
          <w:color w:val="auto"/>
          <w:kern w:val="0"/>
          <w:lang w:eastAsia="ar-SA"/>
        </w:rPr>
        <w:t>:</w:t>
      </w:r>
      <w:r w:rsidRPr="00961F9A">
        <w:rPr>
          <w:color w:val="auto"/>
          <w:kern w:val="0"/>
          <w:lang w:eastAsia="ar-SA"/>
        </w:rPr>
        <w:t xml:space="preserve"> </w:t>
      </w:r>
      <w:proofErr w:type="spellStart"/>
      <w:r>
        <w:rPr>
          <w:color w:val="auto"/>
          <w:kern w:val="0"/>
          <w:lang w:eastAsia="ar-SA"/>
        </w:rPr>
        <w:t>рок</w:t>
      </w:r>
      <w:proofErr w:type="spellEnd"/>
      <w:r>
        <w:rPr>
          <w:color w:val="auto"/>
          <w:kern w:val="0"/>
          <w:lang w:eastAsia="ar-SA"/>
        </w:rPr>
        <w:t xml:space="preserve"> </w:t>
      </w:r>
      <w:proofErr w:type="spellStart"/>
      <w:r>
        <w:rPr>
          <w:color w:val="auto"/>
          <w:kern w:val="0"/>
          <w:lang w:eastAsia="ar-SA"/>
        </w:rPr>
        <w:t>извршења</w:t>
      </w:r>
      <w:proofErr w:type="spellEnd"/>
      <w:r>
        <w:rPr>
          <w:color w:val="auto"/>
          <w:kern w:val="0"/>
          <w:lang w:eastAsia="ar-SA"/>
        </w:rPr>
        <w:t xml:space="preserve"> </w:t>
      </w:r>
      <w:proofErr w:type="spellStart"/>
      <w:r>
        <w:rPr>
          <w:color w:val="auto"/>
          <w:kern w:val="0"/>
          <w:lang w:eastAsia="ar-SA"/>
        </w:rPr>
        <w:t>у</w:t>
      </w:r>
      <w:r w:rsidR="00F55B30">
        <w:rPr>
          <w:color w:val="auto"/>
          <w:kern w:val="0"/>
          <w:lang w:eastAsia="ar-SA"/>
        </w:rPr>
        <w:t>слуге</w:t>
      </w:r>
      <w:proofErr w:type="spellEnd"/>
      <w:r w:rsidR="00F55B30">
        <w:rPr>
          <w:color w:val="auto"/>
          <w:kern w:val="0"/>
          <w:lang w:eastAsia="ar-SA"/>
        </w:rPr>
        <w:t xml:space="preserve"> је 12 </w:t>
      </w:r>
      <w:proofErr w:type="spellStart"/>
      <w:r w:rsidR="00F55B30">
        <w:rPr>
          <w:color w:val="auto"/>
          <w:kern w:val="0"/>
          <w:lang w:eastAsia="ar-SA"/>
        </w:rPr>
        <w:t>месеци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од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дана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закључења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уговора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односно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до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утрошка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средстава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предвиђених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за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ту</w:t>
      </w:r>
      <w:proofErr w:type="spellEnd"/>
      <w:r w:rsidR="00F55B30">
        <w:rPr>
          <w:color w:val="auto"/>
          <w:kern w:val="0"/>
          <w:lang w:eastAsia="ar-SA"/>
        </w:rPr>
        <w:t xml:space="preserve"> </w:t>
      </w:r>
      <w:proofErr w:type="spellStart"/>
      <w:r w:rsidR="00F55B30">
        <w:rPr>
          <w:color w:val="auto"/>
          <w:kern w:val="0"/>
          <w:lang w:eastAsia="ar-SA"/>
        </w:rPr>
        <w:t>намену</w:t>
      </w:r>
      <w:proofErr w:type="spellEnd"/>
      <w:r>
        <w:rPr>
          <w:color w:val="auto"/>
          <w:kern w:val="0"/>
          <w:lang w:eastAsia="ar-SA"/>
        </w:rPr>
        <w:t>.</w:t>
      </w:r>
    </w:p>
    <w:p w:rsidR="00A52ACB" w:rsidRPr="00F10C4E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rFonts w:cs="TimesNewRomanPSMT"/>
          <w:color w:val="auto"/>
          <w:kern w:val="0"/>
          <w:lang w:eastAsia="ar-SA"/>
        </w:rPr>
      </w:pPr>
      <w:proofErr w:type="spellStart"/>
      <w:r w:rsidRPr="00F10C4E">
        <w:rPr>
          <w:b/>
          <w:bCs/>
          <w:color w:val="auto"/>
          <w:kern w:val="0"/>
          <w:lang w:eastAsia="ar-SA"/>
        </w:rPr>
        <w:t>Рок</w:t>
      </w:r>
      <w:proofErr w:type="spellEnd"/>
      <w:r w:rsidRPr="00F10C4E">
        <w:rPr>
          <w:b/>
          <w:bCs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b/>
          <w:bCs/>
          <w:color w:val="auto"/>
          <w:kern w:val="0"/>
          <w:lang w:eastAsia="ar-SA"/>
        </w:rPr>
        <w:t>плаћања</w:t>
      </w:r>
      <w:proofErr w:type="spellEnd"/>
      <w:r w:rsidRPr="00F10C4E">
        <w:rPr>
          <w:b/>
          <w:bCs/>
          <w:color w:val="auto"/>
          <w:kern w:val="0"/>
          <w:lang w:eastAsia="ar-SA"/>
        </w:rPr>
        <w:t xml:space="preserve">: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Обрачун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се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испоставља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на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месечном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нивоу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,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за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стварно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извршену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услугу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за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претходни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месец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.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Плаћање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се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="00820387">
        <w:rPr>
          <w:rFonts w:cs="TimesNewRomanPSMT"/>
          <w:color w:val="auto"/>
          <w:kern w:val="0"/>
          <w:lang w:eastAsia="ar-SA"/>
        </w:rPr>
        <w:t>врши</w:t>
      </w:r>
      <w:proofErr w:type="spellEnd"/>
      <w:r w:rsidR="00820387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="00820387">
        <w:rPr>
          <w:rFonts w:cs="TimesNewRomanPSMT"/>
          <w:color w:val="auto"/>
          <w:kern w:val="0"/>
          <w:lang w:eastAsia="ar-SA"/>
        </w:rPr>
        <w:t>на</w:t>
      </w:r>
      <w:proofErr w:type="spellEnd"/>
      <w:r w:rsidR="00820387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="00820387">
        <w:rPr>
          <w:rFonts w:cs="TimesNewRomanPSMT"/>
          <w:color w:val="auto"/>
          <w:kern w:val="0"/>
          <w:lang w:eastAsia="ar-SA"/>
        </w:rPr>
        <w:t>рачун</w:t>
      </w:r>
      <w:proofErr w:type="spellEnd"/>
      <w:r w:rsidR="00820387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="00820387">
        <w:rPr>
          <w:rFonts w:cs="TimesNewRomanPSMT"/>
          <w:color w:val="auto"/>
          <w:kern w:val="0"/>
          <w:lang w:eastAsia="ar-SA"/>
        </w:rPr>
        <w:t>пружаоца</w:t>
      </w:r>
      <w:proofErr w:type="spellEnd"/>
      <w:r w:rsidR="00820387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="00820387">
        <w:rPr>
          <w:rFonts w:cs="TimesNewRomanPSMT"/>
          <w:color w:val="auto"/>
          <w:kern w:val="0"/>
          <w:lang w:eastAsia="ar-SA"/>
        </w:rPr>
        <w:t>услуге</w:t>
      </w:r>
      <w:proofErr w:type="spellEnd"/>
      <w:r w:rsidR="00820387">
        <w:rPr>
          <w:rFonts w:cs="TimesNewRomanPSMT"/>
          <w:color w:val="auto"/>
          <w:kern w:val="0"/>
          <w:lang w:eastAsia="ar-SA"/>
        </w:rPr>
        <w:t xml:space="preserve">, </w:t>
      </w:r>
      <w:proofErr w:type="spellStart"/>
      <w:r w:rsidR="00820387">
        <w:rPr>
          <w:rFonts w:cs="TimesNewRomanPSMT"/>
          <w:color w:val="auto"/>
          <w:kern w:val="0"/>
          <w:lang w:eastAsia="ar-SA"/>
        </w:rPr>
        <w:t>до</w:t>
      </w:r>
      <w:proofErr w:type="spellEnd"/>
      <w:r w:rsidR="00820387">
        <w:rPr>
          <w:rFonts w:cs="TimesNewRomanPSMT"/>
          <w:color w:val="auto"/>
          <w:kern w:val="0"/>
          <w:lang w:eastAsia="ar-SA"/>
        </w:rPr>
        <w:t xml:space="preserve"> 4</w:t>
      </w:r>
      <w:r w:rsidRPr="00F10C4E">
        <w:rPr>
          <w:rFonts w:cs="TimesNewRomanPSMT"/>
          <w:color w:val="auto"/>
          <w:kern w:val="0"/>
          <w:lang w:eastAsia="ar-SA"/>
        </w:rPr>
        <w:t xml:space="preserve">5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дана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по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испостављању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овереног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рачуна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од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стране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пружаоца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услуге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и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наручиоца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,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као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и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достављањем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одговарајућих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доказа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о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исплаћеним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зарадама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,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као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и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порезима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и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доприносима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за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предходни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месец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>.</w:t>
      </w:r>
    </w:p>
    <w:p w:rsidR="00CA34D5" w:rsidRPr="00DF33F4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rFonts w:cs="TimesNewRomanPSMT"/>
          <w:color w:val="auto"/>
          <w:kern w:val="0"/>
          <w:lang w:eastAsia="ar-SA"/>
        </w:rPr>
      </w:pPr>
      <w:proofErr w:type="spellStart"/>
      <w:r w:rsidRPr="00F10C4E">
        <w:rPr>
          <w:rFonts w:cs="TimesNewRomanPSMT"/>
          <w:color w:val="auto"/>
          <w:kern w:val="0"/>
          <w:lang w:eastAsia="ar-SA"/>
        </w:rPr>
        <w:t>Плаћање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се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врши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уплатом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на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рачун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>
        <w:rPr>
          <w:rFonts w:cs="TimesNewRomanPSMT"/>
          <w:color w:val="auto"/>
          <w:kern w:val="0"/>
          <w:lang w:eastAsia="ar-SA"/>
        </w:rPr>
        <w:t>Извршиоца</w:t>
      </w:r>
      <w:proofErr w:type="spellEnd"/>
      <w:r>
        <w:rPr>
          <w:rFonts w:cs="TimesNewRomanPSMT"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rFonts w:cs="TimesNewRomanPSMT"/>
          <w:color w:val="auto"/>
          <w:kern w:val="0"/>
          <w:lang w:eastAsia="ar-SA"/>
        </w:rPr>
        <w:t>услуга</w:t>
      </w:r>
      <w:proofErr w:type="spellEnd"/>
      <w:r w:rsidRPr="00F10C4E">
        <w:rPr>
          <w:rFonts w:cs="TimesNewRomanPSMT"/>
          <w:color w:val="auto"/>
          <w:kern w:val="0"/>
          <w:lang w:eastAsia="ar-SA"/>
        </w:rPr>
        <w:t>.</w:t>
      </w:r>
    </w:p>
    <w:p w:rsidR="002B093C" w:rsidRPr="00DF33F4" w:rsidRDefault="00A52ACB" w:rsidP="00DF3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ind w:left="540" w:hanging="540"/>
        <w:jc w:val="both"/>
        <w:textAlignment w:val="auto"/>
        <w:rPr>
          <w:b/>
          <w:color w:val="auto"/>
          <w:kern w:val="0"/>
          <w:lang w:eastAsia="ar-SA"/>
        </w:rPr>
      </w:pPr>
      <w:proofErr w:type="spellStart"/>
      <w:r w:rsidRPr="00F10C4E">
        <w:rPr>
          <w:b/>
          <w:color w:val="auto"/>
          <w:kern w:val="0"/>
          <w:lang w:eastAsia="ar-SA"/>
        </w:rPr>
        <w:t>Tражење</w:t>
      </w:r>
      <w:proofErr w:type="spellEnd"/>
      <w:r w:rsidRPr="00F10C4E">
        <w:rPr>
          <w:b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b/>
          <w:color w:val="auto"/>
          <w:kern w:val="0"/>
          <w:lang w:eastAsia="ar-SA"/>
        </w:rPr>
        <w:t>аванса</w:t>
      </w:r>
      <w:proofErr w:type="spellEnd"/>
      <w:r w:rsidRPr="00F10C4E">
        <w:rPr>
          <w:b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b/>
          <w:color w:val="auto"/>
          <w:kern w:val="0"/>
          <w:lang w:eastAsia="ar-SA"/>
        </w:rPr>
        <w:t>није</w:t>
      </w:r>
      <w:proofErr w:type="spellEnd"/>
      <w:r w:rsidRPr="00F10C4E">
        <w:rPr>
          <w:b/>
          <w:color w:val="auto"/>
          <w:kern w:val="0"/>
          <w:lang w:eastAsia="ar-SA"/>
        </w:rPr>
        <w:t xml:space="preserve"> </w:t>
      </w:r>
      <w:proofErr w:type="spellStart"/>
      <w:r w:rsidRPr="00F10C4E">
        <w:rPr>
          <w:b/>
          <w:color w:val="auto"/>
          <w:kern w:val="0"/>
          <w:lang w:eastAsia="ar-SA"/>
        </w:rPr>
        <w:t>дозвољено</w:t>
      </w:r>
      <w:proofErr w:type="spellEnd"/>
      <w:r w:rsidRPr="00F10C4E">
        <w:rPr>
          <w:b/>
          <w:color w:val="auto"/>
          <w:kern w:val="0"/>
          <w:lang w:eastAsia="ar-SA"/>
        </w:rPr>
        <w:t>.</w:t>
      </w:r>
    </w:p>
    <w:p w:rsidR="00A52ACB" w:rsidRPr="00961F9A" w:rsidRDefault="00A52ACB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  <w:proofErr w:type="spellStart"/>
      <w:r w:rsidRPr="00961F9A">
        <w:rPr>
          <w:b/>
          <w:color w:val="auto"/>
          <w:kern w:val="0"/>
          <w:u w:val="single"/>
          <w:lang w:eastAsia="ar-SA"/>
        </w:rPr>
        <w:t>Упутство</w:t>
      </w:r>
      <w:proofErr w:type="spellEnd"/>
      <w:r w:rsidRPr="00961F9A">
        <w:rPr>
          <w:b/>
          <w:color w:val="auto"/>
          <w:kern w:val="0"/>
          <w:u w:val="single"/>
          <w:lang w:eastAsia="ar-SA"/>
        </w:rPr>
        <w:t xml:space="preserve"> </w:t>
      </w:r>
      <w:proofErr w:type="spellStart"/>
      <w:r w:rsidRPr="00961F9A">
        <w:rPr>
          <w:b/>
          <w:color w:val="auto"/>
          <w:kern w:val="0"/>
          <w:u w:val="single"/>
          <w:lang w:eastAsia="ar-SA"/>
        </w:rPr>
        <w:t>за</w:t>
      </w:r>
      <w:proofErr w:type="spellEnd"/>
      <w:r w:rsidRPr="00961F9A">
        <w:rPr>
          <w:b/>
          <w:color w:val="auto"/>
          <w:kern w:val="0"/>
          <w:u w:val="single"/>
          <w:lang w:eastAsia="ar-SA"/>
        </w:rPr>
        <w:t xml:space="preserve"> </w:t>
      </w:r>
      <w:proofErr w:type="spellStart"/>
      <w:r w:rsidRPr="00961F9A">
        <w:rPr>
          <w:b/>
          <w:color w:val="auto"/>
          <w:kern w:val="0"/>
          <w:u w:val="single"/>
          <w:lang w:eastAsia="ar-SA"/>
        </w:rPr>
        <w:t>попуњавање</w:t>
      </w:r>
      <w:proofErr w:type="spellEnd"/>
      <w:r w:rsidRPr="00961F9A">
        <w:rPr>
          <w:b/>
          <w:color w:val="auto"/>
          <w:kern w:val="0"/>
          <w:u w:val="single"/>
          <w:lang w:eastAsia="ar-SA"/>
        </w:rPr>
        <w:t xml:space="preserve"> </w:t>
      </w:r>
      <w:proofErr w:type="spellStart"/>
      <w:r w:rsidRPr="00961F9A">
        <w:rPr>
          <w:b/>
          <w:color w:val="auto"/>
          <w:kern w:val="0"/>
          <w:u w:val="single"/>
          <w:lang w:eastAsia="ar-SA"/>
        </w:rPr>
        <w:t>обрасца</w:t>
      </w:r>
      <w:proofErr w:type="spellEnd"/>
      <w:r w:rsidRPr="00961F9A">
        <w:rPr>
          <w:b/>
          <w:color w:val="auto"/>
          <w:kern w:val="0"/>
          <w:u w:val="single"/>
          <w:lang w:eastAsia="ar-SA"/>
        </w:rPr>
        <w:t xml:space="preserve"> </w:t>
      </w:r>
      <w:proofErr w:type="spellStart"/>
      <w:r w:rsidRPr="00F10C4E">
        <w:rPr>
          <w:b/>
          <w:color w:val="auto"/>
          <w:kern w:val="0"/>
          <w:u w:val="single"/>
          <w:lang w:eastAsia="ar-SA"/>
        </w:rPr>
        <w:t>понуде</w:t>
      </w:r>
      <w:proofErr w:type="spellEnd"/>
      <w:r w:rsidRPr="00F10C4E">
        <w:rPr>
          <w:b/>
          <w:color w:val="auto"/>
          <w:kern w:val="0"/>
          <w:u w:val="single"/>
          <w:lang w:eastAsia="ar-SA"/>
        </w:rPr>
        <w:t xml:space="preserve"> </w:t>
      </w:r>
      <w:proofErr w:type="spellStart"/>
      <w:r w:rsidRPr="00F10C4E">
        <w:rPr>
          <w:b/>
          <w:color w:val="auto"/>
          <w:kern w:val="0"/>
          <w:u w:val="single"/>
          <w:lang w:eastAsia="ar-SA"/>
        </w:rPr>
        <w:t>са</w:t>
      </w:r>
      <w:proofErr w:type="spellEnd"/>
      <w:r w:rsidRPr="00F10C4E">
        <w:rPr>
          <w:b/>
          <w:color w:val="auto"/>
          <w:kern w:val="0"/>
          <w:u w:val="single"/>
          <w:lang w:eastAsia="ar-SA"/>
        </w:rPr>
        <w:t xml:space="preserve"> </w:t>
      </w:r>
      <w:proofErr w:type="spellStart"/>
      <w:r w:rsidRPr="00961F9A">
        <w:rPr>
          <w:b/>
          <w:color w:val="auto"/>
          <w:kern w:val="0"/>
          <w:u w:val="single"/>
          <w:lang w:eastAsia="ar-SA"/>
        </w:rPr>
        <w:t>структур</w:t>
      </w:r>
      <w:r w:rsidRPr="00F10C4E">
        <w:rPr>
          <w:b/>
          <w:color w:val="auto"/>
          <w:kern w:val="0"/>
          <w:u w:val="single"/>
          <w:lang w:eastAsia="ar-SA"/>
        </w:rPr>
        <w:t>ом</w:t>
      </w:r>
      <w:proofErr w:type="spellEnd"/>
      <w:r w:rsidRPr="00961F9A">
        <w:rPr>
          <w:b/>
          <w:color w:val="auto"/>
          <w:kern w:val="0"/>
          <w:u w:val="single"/>
          <w:lang w:eastAsia="ar-SA"/>
        </w:rPr>
        <w:t xml:space="preserve"> </w:t>
      </w:r>
      <w:proofErr w:type="spellStart"/>
      <w:r w:rsidRPr="00961F9A">
        <w:rPr>
          <w:b/>
          <w:color w:val="auto"/>
          <w:kern w:val="0"/>
          <w:u w:val="single"/>
          <w:lang w:eastAsia="ar-SA"/>
        </w:rPr>
        <w:t>цене</w:t>
      </w:r>
      <w:proofErr w:type="spellEnd"/>
      <w:r w:rsidRPr="00961F9A">
        <w:rPr>
          <w:b/>
          <w:color w:val="auto"/>
          <w:kern w:val="0"/>
          <w:u w:val="single"/>
          <w:lang w:eastAsia="ar-SA"/>
        </w:rPr>
        <w:t>:</w:t>
      </w:r>
    </w:p>
    <w:p w:rsidR="00A52ACB" w:rsidRDefault="00A52ACB" w:rsidP="00F55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"/>
        </w:tabs>
        <w:spacing w:line="100" w:lineRule="atLeast"/>
        <w:jc w:val="both"/>
        <w:textAlignment w:val="auto"/>
        <w:rPr>
          <w:rFonts w:eastAsia="Arial Unicode MS"/>
          <w:color w:val="auto"/>
          <w:kern w:val="0"/>
          <w:lang w:eastAsia="ar-SA"/>
        </w:rPr>
      </w:pPr>
      <w:r>
        <w:rPr>
          <w:rFonts w:eastAsia="Arial Unicode MS"/>
          <w:color w:val="auto"/>
          <w:kern w:val="0"/>
          <w:lang w:eastAsia="ar-SA"/>
        </w:rPr>
        <w:t xml:space="preserve">    </w:t>
      </w:r>
      <w:proofErr w:type="spellStart"/>
      <w:r w:rsidRPr="00961F9A">
        <w:rPr>
          <w:rFonts w:eastAsia="Arial Unicode MS"/>
          <w:color w:val="auto"/>
          <w:kern w:val="0"/>
          <w:lang w:eastAsia="ar-SA"/>
        </w:rPr>
        <w:t>Понуђач</w:t>
      </w:r>
      <w:proofErr w:type="spellEnd"/>
      <w:r w:rsidRPr="00961F9A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961F9A">
        <w:rPr>
          <w:rFonts w:eastAsia="Arial Unicode MS"/>
          <w:color w:val="auto"/>
          <w:kern w:val="0"/>
          <w:lang w:eastAsia="ar-SA"/>
        </w:rPr>
        <w:t>треба</w:t>
      </w:r>
      <w:proofErr w:type="spellEnd"/>
      <w:r w:rsidRPr="00961F9A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961F9A">
        <w:rPr>
          <w:rFonts w:eastAsia="Arial Unicode MS"/>
          <w:color w:val="auto"/>
          <w:kern w:val="0"/>
          <w:lang w:eastAsia="ar-SA"/>
        </w:rPr>
        <w:t>да</w:t>
      </w:r>
      <w:proofErr w:type="spellEnd"/>
      <w:r w:rsidRPr="00961F9A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961F9A">
        <w:rPr>
          <w:rFonts w:eastAsia="Arial Unicode MS"/>
          <w:color w:val="auto"/>
          <w:kern w:val="0"/>
          <w:lang w:eastAsia="ar-SA"/>
        </w:rPr>
        <w:t>попуни</w:t>
      </w:r>
      <w:proofErr w:type="spellEnd"/>
      <w:r w:rsidRPr="00961F9A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961F9A">
        <w:rPr>
          <w:rFonts w:eastAsia="Arial Unicode MS"/>
          <w:color w:val="auto"/>
          <w:kern w:val="0"/>
          <w:lang w:eastAsia="ar-SA"/>
        </w:rPr>
        <w:t>образац</w:t>
      </w:r>
      <w:proofErr w:type="spellEnd"/>
      <w:r w:rsidRPr="00961F9A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961F9A">
        <w:rPr>
          <w:rFonts w:eastAsia="Arial Unicode MS"/>
          <w:color w:val="auto"/>
          <w:kern w:val="0"/>
          <w:lang w:eastAsia="ar-SA"/>
        </w:rPr>
        <w:t>с</w:t>
      </w:r>
      <w:r w:rsidR="00F55B30">
        <w:rPr>
          <w:rFonts w:eastAsia="Arial Unicode MS"/>
          <w:color w:val="auto"/>
          <w:kern w:val="0"/>
          <w:lang w:eastAsia="ar-SA"/>
        </w:rPr>
        <w:t>труктуре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цене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на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следећи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начин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>:</w:t>
      </w:r>
    </w:p>
    <w:p w:rsidR="00623ABA" w:rsidRPr="002B093C" w:rsidRDefault="00623ABA" w:rsidP="002B09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"/>
        </w:tabs>
        <w:spacing w:line="100" w:lineRule="atLeast"/>
        <w:jc w:val="both"/>
        <w:textAlignment w:val="auto"/>
        <w:rPr>
          <w:rFonts w:eastAsia="Arial Unicode MS"/>
          <w:color w:val="auto"/>
          <w:kern w:val="0"/>
          <w:lang w:eastAsia="ar-SA"/>
        </w:rPr>
      </w:pPr>
      <w:r w:rsidRPr="002B093C">
        <w:rPr>
          <w:rFonts w:eastAsia="Arial Unicode MS"/>
          <w:color w:val="auto"/>
          <w:kern w:val="0"/>
          <w:lang w:eastAsia="ar-SA"/>
        </w:rPr>
        <w:t xml:space="preserve">У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колини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r w:rsidR="002B093C" w:rsidRPr="002B093C">
        <w:rPr>
          <w:rFonts w:eastAsia="Arial Unicode MS"/>
          <w:color w:val="auto"/>
          <w:kern w:val="0"/>
          <w:lang w:eastAsia="ar-SA"/>
        </w:rPr>
        <w:t>4</w:t>
      </w:r>
      <w:r w:rsidRPr="002B093C">
        <w:rPr>
          <w:rFonts w:eastAsia="Arial Unicode MS"/>
          <w:color w:val="auto"/>
          <w:kern w:val="0"/>
          <w:lang w:eastAsia="ar-SA"/>
        </w:rPr>
        <w:t xml:space="preserve">.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нараучилац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је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навео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нето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зараду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по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једном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извршиоцу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на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месечном</w:t>
      </w:r>
      <w:proofErr w:type="spellEnd"/>
      <w:r w:rsidRPr="002B093C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2B093C">
        <w:rPr>
          <w:rFonts w:eastAsia="Arial Unicode MS"/>
          <w:color w:val="auto"/>
          <w:kern w:val="0"/>
          <w:lang w:eastAsia="ar-SA"/>
        </w:rPr>
        <w:t>нивоу</w:t>
      </w:r>
      <w:proofErr w:type="spellEnd"/>
    </w:p>
    <w:p w:rsidR="00A52ACB" w:rsidRPr="00F55B30" w:rsidRDefault="00A52ACB" w:rsidP="002B093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</w:tabs>
        <w:spacing w:line="100" w:lineRule="atLeast"/>
        <w:jc w:val="both"/>
        <w:textAlignment w:val="auto"/>
        <w:rPr>
          <w:rFonts w:eastAsia="Arial Unicode MS"/>
          <w:lang w:eastAsia="ar-SA"/>
        </w:rPr>
      </w:pPr>
      <w:proofErr w:type="gramStart"/>
      <w:r>
        <w:rPr>
          <w:rFonts w:eastAsia="Arial Unicode MS"/>
          <w:color w:val="auto"/>
          <w:kern w:val="0"/>
          <w:lang w:eastAsia="ar-SA"/>
        </w:rPr>
        <w:lastRenderedPageBreak/>
        <w:t>у</w:t>
      </w:r>
      <w:proofErr w:type="gramEnd"/>
      <w:r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>
        <w:rPr>
          <w:rFonts w:eastAsia="Arial Unicode MS"/>
          <w:color w:val="auto"/>
          <w:kern w:val="0"/>
          <w:lang w:eastAsia="ar-SA"/>
        </w:rPr>
        <w:t>колони</w:t>
      </w:r>
      <w:proofErr w:type="spellEnd"/>
      <w:r>
        <w:rPr>
          <w:rFonts w:eastAsia="Arial Unicode MS"/>
          <w:color w:val="auto"/>
          <w:kern w:val="0"/>
          <w:lang w:eastAsia="ar-SA"/>
        </w:rPr>
        <w:t xml:space="preserve"> </w:t>
      </w:r>
      <w:r w:rsidR="002B093C">
        <w:rPr>
          <w:rFonts w:eastAsia="Arial Unicode MS"/>
          <w:color w:val="auto"/>
          <w:kern w:val="0"/>
          <w:lang w:eastAsia="ar-SA"/>
        </w:rPr>
        <w:t>5</w:t>
      </w:r>
      <w:r w:rsidRPr="00EE52F7">
        <w:rPr>
          <w:rFonts w:eastAsia="Arial Unicode MS"/>
          <w:color w:val="auto"/>
          <w:kern w:val="0"/>
          <w:lang w:eastAsia="ar-SA"/>
        </w:rPr>
        <w:t xml:space="preserve">.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уписати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колико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износи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јединична</w:t>
      </w:r>
      <w:proofErr w:type="spellEnd"/>
      <w:r w:rsidRPr="00EE52F7">
        <w:rPr>
          <w:rFonts w:eastAsia="Arial Unicode MS"/>
          <w:b/>
          <w:bCs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b/>
          <w:bCs/>
          <w:color w:val="auto"/>
          <w:kern w:val="0"/>
          <w:lang w:eastAsia="ar-SA"/>
        </w:rPr>
        <w:t>бруто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цена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на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месечном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нивоу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за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Pr="00EE52F7">
        <w:rPr>
          <w:rFonts w:eastAsia="Arial Unicode MS"/>
          <w:color w:val="auto"/>
          <w:kern w:val="0"/>
          <w:lang w:eastAsia="ar-SA"/>
        </w:rPr>
        <w:t>једног</w:t>
      </w:r>
      <w:proofErr w:type="spellEnd"/>
      <w:r w:rsidRPr="00EE52F7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>
        <w:rPr>
          <w:rFonts w:eastAsia="Arial Unicode MS"/>
          <w:color w:val="auto"/>
          <w:kern w:val="0"/>
          <w:lang w:eastAsia="ar-SA"/>
        </w:rPr>
        <w:t>извршиоца</w:t>
      </w:r>
      <w:proofErr w:type="spellEnd"/>
      <w:r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услуге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за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наведени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нето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који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је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одредио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наручилац</w:t>
      </w:r>
      <w:proofErr w:type="spellEnd"/>
      <w:r w:rsidR="00F55B30">
        <w:rPr>
          <w:rFonts w:eastAsia="Arial Unicode MS"/>
          <w:color w:val="auto"/>
          <w:kern w:val="0"/>
          <w:lang w:eastAsia="ar-SA"/>
        </w:rPr>
        <w:t xml:space="preserve"> </w:t>
      </w:r>
      <w:proofErr w:type="spellStart"/>
      <w:r w:rsidR="00F55B30">
        <w:rPr>
          <w:rFonts w:eastAsia="Arial Unicode MS"/>
          <w:color w:val="auto"/>
          <w:kern w:val="0"/>
          <w:lang w:eastAsia="ar-SA"/>
        </w:rPr>
        <w:t>услуге</w:t>
      </w:r>
      <w:proofErr w:type="spellEnd"/>
    </w:p>
    <w:p w:rsidR="002B093C" w:rsidRPr="002B093C" w:rsidRDefault="00820387" w:rsidP="002B093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</w:tabs>
        <w:spacing w:line="100" w:lineRule="atLeast"/>
        <w:jc w:val="both"/>
        <w:textAlignment w:val="auto"/>
        <w:rPr>
          <w:lang w:eastAsia="ar-SA"/>
        </w:rPr>
      </w:pPr>
      <w:proofErr w:type="gramStart"/>
      <w:r>
        <w:rPr>
          <w:lang w:eastAsia="ar-SA"/>
        </w:rPr>
        <w:t>у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колони</w:t>
      </w:r>
      <w:proofErr w:type="spellEnd"/>
      <w:r>
        <w:rPr>
          <w:lang w:eastAsia="ar-SA"/>
        </w:rPr>
        <w:t xml:space="preserve"> </w:t>
      </w:r>
      <w:r w:rsidR="002B093C">
        <w:rPr>
          <w:lang w:eastAsia="ar-SA"/>
        </w:rPr>
        <w:t>6</w:t>
      </w:r>
      <w:r w:rsidR="00A52ACB" w:rsidRPr="00EE52F7">
        <w:rPr>
          <w:lang w:eastAsia="ar-SA"/>
        </w:rPr>
        <w:t xml:space="preserve">. </w:t>
      </w:r>
      <w:proofErr w:type="spellStart"/>
      <w:r w:rsidR="00A52ACB" w:rsidRPr="00EE52F7">
        <w:rPr>
          <w:lang w:eastAsia="ar-SA"/>
        </w:rPr>
        <w:t>уписати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колико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износи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623ABA">
        <w:rPr>
          <w:lang w:eastAsia="ar-SA"/>
        </w:rPr>
        <w:t>провизија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u w:val="single"/>
          <w:lang w:eastAsia="ar-SA"/>
        </w:rPr>
        <w:t>агенције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без</w:t>
      </w:r>
      <w:proofErr w:type="spellEnd"/>
      <w:r w:rsidR="00A52ACB" w:rsidRPr="00EE52F7">
        <w:rPr>
          <w:lang w:eastAsia="ar-SA"/>
        </w:rPr>
        <w:t xml:space="preserve"> ПДВ-а </w:t>
      </w:r>
      <w:proofErr w:type="spellStart"/>
      <w:r w:rsidR="00A52ACB" w:rsidRPr="00EE52F7">
        <w:rPr>
          <w:lang w:eastAsia="ar-SA"/>
        </w:rPr>
        <w:t>за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један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месец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за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сваког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извршиоца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наведене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услуге</w:t>
      </w:r>
      <w:proofErr w:type="spellEnd"/>
    </w:p>
    <w:p w:rsidR="002B093C" w:rsidRPr="002B093C" w:rsidRDefault="00820387" w:rsidP="002B093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</w:tabs>
        <w:spacing w:line="100" w:lineRule="atLeast"/>
        <w:jc w:val="both"/>
        <w:textAlignment w:val="auto"/>
        <w:rPr>
          <w:lang w:eastAsia="ar-SA"/>
        </w:rPr>
      </w:pPr>
      <w:proofErr w:type="gramStart"/>
      <w:r w:rsidRPr="002B093C">
        <w:rPr>
          <w:rFonts w:eastAsia="Arial Unicode MS"/>
          <w:lang w:eastAsia="ar-SA"/>
        </w:rPr>
        <w:t>у</w:t>
      </w:r>
      <w:proofErr w:type="gramEnd"/>
      <w:r w:rsidRPr="002B093C">
        <w:rPr>
          <w:rFonts w:eastAsia="Arial Unicode MS"/>
          <w:lang w:eastAsia="ar-SA"/>
        </w:rPr>
        <w:t xml:space="preserve"> </w:t>
      </w:r>
      <w:proofErr w:type="spellStart"/>
      <w:r w:rsidRPr="002B093C">
        <w:rPr>
          <w:rFonts w:eastAsia="Arial Unicode MS"/>
          <w:lang w:eastAsia="ar-SA"/>
        </w:rPr>
        <w:t>колони</w:t>
      </w:r>
      <w:proofErr w:type="spellEnd"/>
      <w:r w:rsidRPr="002B093C">
        <w:rPr>
          <w:rFonts w:eastAsia="Arial Unicode MS"/>
          <w:lang w:eastAsia="ar-SA"/>
        </w:rPr>
        <w:t xml:space="preserve"> </w:t>
      </w:r>
      <w:r w:rsidR="002B093C" w:rsidRPr="002B093C">
        <w:rPr>
          <w:rFonts w:eastAsia="Arial Unicode MS"/>
          <w:lang w:eastAsia="ar-SA"/>
        </w:rPr>
        <w:t>7</w:t>
      </w:r>
      <w:r w:rsidR="00A52ACB" w:rsidRPr="002B093C">
        <w:rPr>
          <w:rFonts w:eastAsia="Arial Unicode MS"/>
          <w:lang w:eastAsia="ar-SA"/>
        </w:rPr>
        <w:t xml:space="preserve">. </w:t>
      </w:r>
      <w:proofErr w:type="spellStart"/>
      <w:r w:rsidR="00A52ACB" w:rsidRPr="00EE52F7">
        <w:rPr>
          <w:lang w:eastAsia="ar-SA"/>
        </w:rPr>
        <w:t>у</w:t>
      </w:r>
      <w:r w:rsidR="00623ABA">
        <w:rPr>
          <w:lang w:eastAsia="ar-SA"/>
        </w:rPr>
        <w:t>писати</w:t>
      </w:r>
      <w:proofErr w:type="spellEnd"/>
      <w:r w:rsidR="00623ABA">
        <w:rPr>
          <w:lang w:eastAsia="ar-SA"/>
        </w:rPr>
        <w:t xml:space="preserve"> </w:t>
      </w:r>
      <w:proofErr w:type="spellStart"/>
      <w:r w:rsidR="00623ABA">
        <w:rPr>
          <w:lang w:eastAsia="ar-SA"/>
        </w:rPr>
        <w:t>колико</w:t>
      </w:r>
      <w:proofErr w:type="spellEnd"/>
      <w:r w:rsidR="00623ABA">
        <w:rPr>
          <w:lang w:eastAsia="ar-SA"/>
        </w:rPr>
        <w:t xml:space="preserve"> </w:t>
      </w:r>
      <w:proofErr w:type="spellStart"/>
      <w:r w:rsidR="00623ABA">
        <w:rPr>
          <w:lang w:eastAsia="ar-SA"/>
        </w:rPr>
        <w:t>износи</w:t>
      </w:r>
      <w:proofErr w:type="spellEnd"/>
      <w:r w:rsidR="00623ABA">
        <w:rPr>
          <w:lang w:eastAsia="ar-SA"/>
        </w:rPr>
        <w:t xml:space="preserve"> </w:t>
      </w:r>
      <w:proofErr w:type="spellStart"/>
      <w:r w:rsidR="00623ABA">
        <w:rPr>
          <w:lang w:eastAsia="ar-SA"/>
        </w:rPr>
        <w:t>провизија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2B093C">
        <w:rPr>
          <w:u w:val="single"/>
          <w:lang w:eastAsia="ar-SA"/>
        </w:rPr>
        <w:t>агенције</w:t>
      </w:r>
      <w:proofErr w:type="spellEnd"/>
      <w:r w:rsidR="00A52ACB">
        <w:rPr>
          <w:lang w:eastAsia="ar-SA"/>
        </w:rPr>
        <w:t xml:space="preserve"> </w:t>
      </w:r>
      <w:proofErr w:type="spellStart"/>
      <w:r w:rsidR="00A52ACB">
        <w:rPr>
          <w:lang w:eastAsia="ar-SA"/>
        </w:rPr>
        <w:t>са</w:t>
      </w:r>
      <w:proofErr w:type="spellEnd"/>
      <w:r w:rsidR="00A52ACB">
        <w:rPr>
          <w:lang w:eastAsia="ar-SA"/>
        </w:rPr>
        <w:t xml:space="preserve"> ПДВ-</w:t>
      </w:r>
      <w:proofErr w:type="spellStart"/>
      <w:r w:rsidR="00A52ACB">
        <w:rPr>
          <w:lang w:eastAsia="ar-SA"/>
        </w:rPr>
        <w:t>ом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за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један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месец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за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сваког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извршиоца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наведене</w:t>
      </w:r>
      <w:proofErr w:type="spellEnd"/>
      <w:r w:rsidR="00A52ACB" w:rsidRPr="00EE52F7">
        <w:rPr>
          <w:lang w:eastAsia="ar-SA"/>
        </w:rPr>
        <w:t xml:space="preserve"> </w:t>
      </w:r>
      <w:proofErr w:type="spellStart"/>
      <w:r w:rsidR="00A52ACB" w:rsidRPr="00EE52F7">
        <w:rPr>
          <w:lang w:eastAsia="ar-SA"/>
        </w:rPr>
        <w:t>услуге</w:t>
      </w:r>
      <w:proofErr w:type="spellEnd"/>
    </w:p>
    <w:p w:rsidR="00A52ACB" w:rsidRPr="002B093C" w:rsidRDefault="00A52ACB" w:rsidP="002B093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</w:tabs>
        <w:spacing w:line="100" w:lineRule="atLeast"/>
        <w:jc w:val="both"/>
        <w:textAlignment w:val="auto"/>
        <w:rPr>
          <w:lang w:eastAsia="ar-SA"/>
        </w:rPr>
      </w:pPr>
      <w:r w:rsidRPr="002B093C">
        <w:rPr>
          <w:rFonts w:eastAsia="Arial Unicode MS"/>
          <w:lang w:eastAsia="ar-SA"/>
        </w:rPr>
        <w:t xml:space="preserve"> </w:t>
      </w:r>
      <w:proofErr w:type="gramStart"/>
      <w:r w:rsidRPr="002B093C">
        <w:rPr>
          <w:rFonts w:eastAsia="Arial Unicode MS"/>
          <w:lang w:eastAsia="ar-SA"/>
        </w:rPr>
        <w:t>у</w:t>
      </w:r>
      <w:proofErr w:type="gramEnd"/>
      <w:r w:rsidRPr="002B093C">
        <w:rPr>
          <w:rFonts w:eastAsia="Arial Unicode MS"/>
          <w:lang w:eastAsia="ar-SA"/>
        </w:rPr>
        <w:t xml:space="preserve"> </w:t>
      </w:r>
      <w:proofErr w:type="spellStart"/>
      <w:r w:rsidRPr="002B093C">
        <w:rPr>
          <w:rFonts w:eastAsia="Arial Unicode MS"/>
          <w:lang w:eastAsia="ar-SA"/>
        </w:rPr>
        <w:t>колони</w:t>
      </w:r>
      <w:proofErr w:type="spellEnd"/>
      <w:r w:rsidR="00820387" w:rsidRPr="002B093C">
        <w:rPr>
          <w:rFonts w:eastAsia="Arial Unicode MS"/>
          <w:lang w:eastAsia="ar-SA"/>
        </w:rPr>
        <w:t xml:space="preserve"> </w:t>
      </w:r>
      <w:r w:rsidR="002B093C">
        <w:rPr>
          <w:rFonts w:eastAsia="Arial Unicode MS"/>
          <w:lang w:eastAsia="ar-SA"/>
        </w:rPr>
        <w:t>8</w:t>
      </w:r>
      <w:r w:rsidRPr="002B093C">
        <w:rPr>
          <w:rFonts w:eastAsia="Arial Unicode MS"/>
          <w:lang w:eastAsia="ar-SA"/>
        </w:rPr>
        <w:t xml:space="preserve">.  </w:t>
      </w:r>
      <w:proofErr w:type="spellStart"/>
      <w:r w:rsidRPr="002B093C">
        <w:rPr>
          <w:rFonts w:eastAsia="Arial Unicode MS"/>
          <w:lang w:eastAsia="ar-SA"/>
        </w:rPr>
        <w:t>Уписати</w:t>
      </w:r>
      <w:proofErr w:type="spellEnd"/>
      <w:r w:rsidRPr="002B093C">
        <w:rPr>
          <w:rFonts w:eastAsia="Arial Unicode MS"/>
          <w:lang w:eastAsia="ar-SA"/>
        </w:rPr>
        <w:t xml:space="preserve"> </w:t>
      </w:r>
      <w:proofErr w:type="spellStart"/>
      <w:r w:rsidRPr="002B093C">
        <w:rPr>
          <w:rFonts w:eastAsia="Calibri"/>
        </w:rPr>
        <w:t>укупан</w:t>
      </w:r>
      <w:proofErr w:type="spellEnd"/>
      <w:r w:rsidRPr="002B093C">
        <w:rPr>
          <w:rFonts w:eastAsia="Calibri"/>
        </w:rPr>
        <w:t xml:space="preserve"> </w:t>
      </w:r>
      <w:proofErr w:type="spellStart"/>
      <w:r w:rsidRPr="002B093C">
        <w:rPr>
          <w:rFonts w:eastAsia="Calibri"/>
        </w:rPr>
        <w:t>збир</w:t>
      </w:r>
      <w:proofErr w:type="spellEnd"/>
      <w:r w:rsidRPr="002B093C">
        <w:rPr>
          <w:rFonts w:eastAsia="Calibri"/>
        </w:rPr>
        <w:t xml:space="preserve"> </w:t>
      </w:r>
      <w:proofErr w:type="spellStart"/>
      <w:r w:rsidRPr="002B093C">
        <w:rPr>
          <w:rFonts w:eastAsia="Calibri"/>
        </w:rPr>
        <w:t>свих</w:t>
      </w:r>
      <w:proofErr w:type="spellEnd"/>
      <w:r w:rsidRPr="002B093C">
        <w:rPr>
          <w:rFonts w:eastAsia="Calibri"/>
        </w:rPr>
        <w:t xml:space="preserve"> </w:t>
      </w:r>
      <w:proofErr w:type="spellStart"/>
      <w:r w:rsidRPr="002B093C">
        <w:rPr>
          <w:rFonts w:eastAsia="Calibri"/>
        </w:rPr>
        <w:t>трошкова</w:t>
      </w:r>
      <w:proofErr w:type="spellEnd"/>
      <w:r w:rsidRPr="002B093C">
        <w:rPr>
          <w:rFonts w:eastAsia="Calibri"/>
        </w:rPr>
        <w:t xml:space="preserve"> </w:t>
      </w:r>
      <w:proofErr w:type="spellStart"/>
      <w:r w:rsidRPr="002B093C">
        <w:rPr>
          <w:rFonts w:eastAsia="Calibri"/>
        </w:rPr>
        <w:t>за</w:t>
      </w:r>
      <w:proofErr w:type="spellEnd"/>
      <w:r w:rsidRPr="002B093C">
        <w:rPr>
          <w:rFonts w:eastAsia="Calibri"/>
        </w:rPr>
        <w:t xml:space="preserve"> </w:t>
      </w:r>
      <w:proofErr w:type="spellStart"/>
      <w:r w:rsidRPr="002B093C">
        <w:rPr>
          <w:rFonts w:eastAsia="Calibri"/>
        </w:rPr>
        <w:t>раднике</w:t>
      </w:r>
      <w:proofErr w:type="spellEnd"/>
      <w:r w:rsidRPr="002B093C">
        <w:rPr>
          <w:rFonts w:eastAsia="Calibri"/>
        </w:rPr>
        <w:t xml:space="preserve"> и </w:t>
      </w:r>
      <w:proofErr w:type="spellStart"/>
      <w:r w:rsidRPr="002B093C">
        <w:rPr>
          <w:rFonts w:eastAsia="Calibri"/>
        </w:rPr>
        <w:t>провизије</w:t>
      </w:r>
      <w:proofErr w:type="spellEnd"/>
      <w:r w:rsidRPr="002B093C">
        <w:rPr>
          <w:rFonts w:eastAsia="Calibri"/>
        </w:rPr>
        <w:t xml:space="preserve"> </w:t>
      </w:r>
      <w:proofErr w:type="spellStart"/>
      <w:r w:rsidRPr="002B093C">
        <w:rPr>
          <w:rFonts w:eastAsia="Calibri"/>
        </w:rPr>
        <w:t>без</w:t>
      </w:r>
      <w:proofErr w:type="spellEnd"/>
      <w:r w:rsidRPr="002B093C">
        <w:rPr>
          <w:rFonts w:eastAsia="Calibri"/>
        </w:rPr>
        <w:t xml:space="preserve"> ПДВ-а;  </w:t>
      </w:r>
      <w:r w:rsidR="002B093C">
        <w:rPr>
          <w:rFonts w:eastAsia="Calibri"/>
        </w:rPr>
        <w:t>8</w:t>
      </w:r>
      <w:r w:rsidR="00820387" w:rsidRPr="002B093C">
        <w:rPr>
          <w:rFonts w:eastAsia="Calibri"/>
        </w:rPr>
        <w:t xml:space="preserve"> = (</w:t>
      </w:r>
      <w:r w:rsidR="00C26456">
        <w:rPr>
          <w:rFonts w:eastAsia="Calibri"/>
        </w:rPr>
        <w:t>5</w:t>
      </w:r>
      <w:r w:rsidR="00820387" w:rsidRPr="002B093C">
        <w:rPr>
          <w:rFonts w:eastAsia="Calibri"/>
        </w:rPr>
        <w:t>+</w:t>
      </w:r>
      <w:r w:rsidR="002B093C">
        <w:rPr>
          <w:rFonts w:eastAsia="Calibri"/>
        </w:rPr>
        <w:t>6</w:t>
      </w:r>
      <w:r w:rsidRPr="002B093C">
        <w:rPr>
          <w:rFonts w:eastAsia="Calibri"/>
        </w:rPr>
        <w:t>)</w:t>
      </w:r>
    </w:p>
    <w:p w:rsidR="00A52ACB" w:rsidRPr="002B093C" w:rsidRDefault="00C26456" w:rsidP="002B093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  <w:proofErr w:type="gramStart"/>
      <w:r>
        <w:rPr>
          <w:color w:val="auto"/>
          <w:kern w:val="0"/>
          <w:lang w:eastAsia="ar-SA"/>
        </w:rPr>
        <w:t>у</w:t>
      </w:r>
      <w:proofErr w:type="gramEnd"/>
      <w:r>
        <w:rPr>
          <w:color w:val="auto"/>
          <w:kern w:val="0"/>
          <w:lang w:eastAsia="ar-SA"/>
        </w:rPr>
        <w:t xml:space="preserve"> </w:t>
      </w:r>
      <w:proofErr w:type="spellStart"/>
      <w:r>
        <w:rPr>
          <w:color w:val="auto"/>
          <w:kern w:val="0"/>
          <w:lang w:eastAsia="ar-SA"/>
        </w:rPr>
        <w:t>колону</w:t>
      </w:r>
      <w:proofErr w:type="spellEnd"/>
      <w:r>
        <w:rPr>
          <w:color w:val="auto"/>
          <w:kern w:val="0"/>
          <w:lang w:eastAsia="ar-SA"/>
        </w:rPr>
        <w:t xml:space="preserve"> 9</w:t>
      </w:r>
      <w:r w:rsidR="00A52ACB" w:rsidRPr="002B093C">
        <w:rPr>
          <w:color w:val="auto"/>
          <w:kern w:val="0"/>
          <w:lang w:eastAsia="ar-SA"/>
        </w:rPr>
        <w:t xml:space="preserve">. </w:t>
      </w:r>
      <w:proofErr w:type="spellStart"/>
      <w:r w:rsidR="00A52ACB" w:rsidRPr="002B093C">
        <w:rPr>
          <w:color w:val="auto"/>
          <w:kern w:val="0"/>
          <w:lang w:eastAsia="ar-SA"/>
        </w:rPr>
        <w:t>уписати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укупан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збир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свих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трошкова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, </w:t>
      </w:r>
      <w:proofErr w:type="spellStart"/>
      <w:r w:rsidR="00A52ACB" w:rsidRPr="002B093C">
        <w:rPr>
          <w:color w:val="auto"/>
          <w:kern w:val="0"/>
          <w:lang w:eastAsia="ar-SA"/>
        </w:rPr>
        <w:t>које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наручилац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мора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да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плати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изабраној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агенцији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, </w:t>
      </w:r>
      <w:proofErr w:type="spellStart"/>
      <w:r w:rsidR="00A52ACB" w:rsidRPr="002B093C">
        <w:rPr>
          <w:color w:val="auto"/>
          <w:kern w:val="0"/>
          <w:lang w:eastAsia="ar-SA"/>
        </w:rPr>
        <w:t>за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раднике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и </w:t>
      </w:r>
      <w:proofErr w:type="spellStart"/>
      <w:r w:rsidR="00A52ACB" w:rsidRPr="002B093C">
        <w:rPr>
          <w:color w:val="auto"/>
          <w:kern w:val="0"/>
          <w:lang w:eastAsia="ar-SA"/>
        </w:rPr>
        <w:t>провизије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</w:t>
      </w:r>
      <w:proofErr w:type="spellStart"/>
      <w:r w:rsidR="00A52ACB" w:rsidRPr="002B093C">
        <w:rPr>
          <w:color w:val="auto"/>
          <w:kern w:val="0"/>
          <w:lang w:eastAsia="ar-SA"/>
        </w:rPr>
        <w:t>са</w:t>
      </w:r>
      <w:proofErr w:type="spellEnd"/>
      <w:r w:rsidR="00A52ACB" w:rsidRPr="002B093C">
        <w:rPr>
          <w:color w:val="auto"/>
          <w:kern w:val="0"/>
          <w:lang w:eastAsia="ar-SA"/>
        </w:rPr>
        <w:t xml:space="preserve"> ПДВ-</w:t>
      </w:r>
      <w:proofErr w:type="spellStart"/>
      <w:r w:rsidR="00A52ACB" w:rsidRPr="002B093C">
        <w:rPr>
          <w:color w:val="auto"/>
          <w:kern w:val="0"/>
          <w:lang w:eastAsia="ar-SA"/>
        </w:rPr>
        <w:t>ом</w:t>
      </w:r>
      <w:proofErr w:type="spellEnd"/>
      <w:r w:rsidR="00A52ACB" w:rsidRPr="002B093C">
        <w:rPr>
          <w:color w:val="auto"/>
          <w:kern w:val="0"/>
          <w:lang w:eastAsia="ar-SA"/>
        </w:rPr>
        <w:t>;</w:t>
      </w:r>
      <w:r w:rsidR="00820387" w:rsidRPr="002B093C">
        <w:rPr>
          <w:color w:val="auto"/>
          <w:kern w:val="0"/>
          <w:lang w:eastAsia="ar-SA"/>
        </w:rPr>
        <w:t xml:space="preserve"> </w:t>
      </w:r>
      <w:r w:rsidR="002B093C">
        <w:rPr>
          <w:color w:val="auto"/>
          <w:kern w:val="0"/>
          <w:lang w:eastAsia="ar-SA"/>
        </w:rPr>
        <w:t>9</w:t>
      </w:r>
      <w:r w:rsidR="00820387" w:rsidRPr="002B093C">
        <w:rPr>
          <w:color w:val="auto"/>
          <w:kern w:val="0"/>
          <w:lang w:eastAsia="ar-SA"/>
        </w:rPr>
        <w:t xml:space="preserve"> = (</w:t>
      </w:r>
      <w:r w:rsidR="00DF33F4">
        <w:rPr>
          <w:color w:val="auto"/>
          <w:kern w:val="0"/>
          <w:lang w:eastAsia="ar-SA"/>
        </w:rPr>
        <w:t>5</w:t>
      </w:r>
      <w:r w:rsidR="00820387" w:rsidRPr="002B093C">
        <w:rPr>
          <w:color w:val="auto"/>
          <w:kern w:val="0"/>
          <w:lang w:eastAsia="ar-SA"/>
        </w:rPr>
        <w:t>+</w:t>
      </w:r>
      <w:r w:rsidR="00DF33F4">
        <w:rPr>
          <w:color w:val="auto"/>
          <w:kern w:val="0"/>
          <w:lang w:eastAsia="ar-SA"/>
        </w:rPr>
        <w:t>7</w:t>
      </w:r>
      <w:r w:rsidR="00A52ACB" w:rsidRPr="002B093C">
        <w:rPr>
          <w:color w:val="auto"/>
          <w:kern w:val="0"/>
          <w:lang w:eastAsia="ar-SA"/>
        </w:rPr>
        <w:t>)</w:t>
      </w:r>
    </w:p>
    <w:p w:rsidR="00CA34D5" w:rsidRDefault="00CA34D5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color w:val="auto"/>
          <w:kern w:val="0"/>
          <w:lang w:eastAsia="ar-SA"/>
        </w:rPr>
      </w:pPr>
    </w:p>
    <w:p w:rsidR="00CA34D5" w:rsidRPr="00DF33F4" w:rsidRDefault="00CA34D5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b/>
          <w:color w:val="auto"/>
          <w:kern w:val="0"/>
          <w:u w:val="single"/>
          <w:lang w:eastAsia="ar-SA"/>
        </w:rPr>
      </w:pPr>
      <w:proofErr w:type="gramStart"/>
      <w:r w:rsidRPr="00DF33F4">
        <w:rPr>
          <w:b/>
          <w:color w:val="auto"/>
          <w:kern w:val="0"/>
          <w:u w:val="single"/>
          <w:lang w:eastAsia="ar-SA"/>
        </w:rPr>
        <w:t>НАПОМЕНА :</w:t>
      </w:r>
      <w:proofErr w:type="gramEnd"/>
    </w:p>
    <w:p w:rsidR="00CA34D5" w:rsidRPr="00CA34D5" w:rsidRDefault="00CA34D5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b/>
          <w:color w:val="auto"/>
          <w:kern w:val="0"/>
          <w:lang w:eastAsia="ar-SA"/>
        </w:rPr>
      </w:pPr>
      <w:proofErr w:type="spellStart"/>
      <w:r w:rsidRPr="00CA34D5">
        <w:rPr>
          <w:b/>
          <w:color w:val="auto"/>
          <w:kern w:val="0"/>
          <w:lang w:eastAsia="ar-SA"/>
        </w:rPr>
        <w:t>Како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се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ради</w:t>
      </w:r>
      <w:proofErr w:type="spellEnd"/>
      <w:r w:rsidRPr="00CA34D5">
        <w:rPr>
          <w:b/>
          <w:color w:val="auto"/>
          <w:kern w:val="0"/>
          <w:lang w:eastAsia="ar-SA"/>
        </w:rPr>
        <w:t xml:space="preserve"> о </w:t>
      </w:r>
      <w:proofErr w:type="spellStart"/>
      <w:r w:rsidRPr="00CA34D5">
        <w:rPr>
          <w:b/>
          <w:color w:val="auto"/>
          <w:kern w:val="0"/>
          <w:lang w:eastAsia="ar-SA"/>
        </w:rPr>
        <w:t>услугама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чији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обим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није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могуће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прецизно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утврдити</w:t>
      </w:r>
      <w:proofErr w:type="spellEnd"/>
      <w:r w:rsidRPr="00CA34D5">
        <w:rPr>
          <w:b/>
          <w:color w:val="auto"/>
          <w:kern w:val="0"/>
          <w:lang w:eastAsia="ar-SA"/>
        </w:rPr>
        <w:t xml:space="preserve">,  </w:t>
      </w:r>
      <w:proofErr w:type="spellStart"/>
      <w:r w:rsidRPr="00CA34D5">
        <w:rPr>
          <w:b/>
          <w:color w:val="auto"/>
          <w:kern w:val="0"/>
          <w:lang w:eastAsia="ar-SA"/>
        </w:rPr>
        <w:t>Наручилац</w:t>
      </w:r>
      <w:proofErr w:type="spellEnd"/>
      <w:r w:rsidRPr="00CA34D5">
        <w:rPr>
          <w:b/>
          <w:color w:val="auto"/>
          <w:kern w:val="0"/>
          <w:lang w:eastAsia="ar-SA"/>
        </w:rPr>
        <w:t xml:space="preserve"> је </w:t>
      </w:r>
      <w:proofErr w:type="spellStart"/>
      <w:r w:rsidRPr="00CA34D5">
        <w:rPr>
          <w:b/>
          <w:color w:val="auto"/>
          <w:kern w:val="0"/>
          <w:lang w:eastAsia="ar-SA"/>
        </w:rPr>
        <w:t>унапред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одредио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вредност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уговора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која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је </w:t>
      </w:r>
      <w:proofErr w:type="spellStart"/>
      <w:r w:rsidRPr="00CA34D5">
        <w:rPr>
          <w:b/>
          <w:color w:val="auto"/>
          <w:kern w:val="0"/>
          <w:lang w:eastAsia="ar-SA"/>
        </w:rPr>
        <w:t>једнака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процењеној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вредности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набавке</w:t>
      </w:r>
      <w:proofErr w:type="spellEnd"/>
      <w:r w:rsidRPr="00CA34D5">
        <w:rPr>
          <w:b/>
          <w:color w:val="auto"/>
          <w:kern w:val="0"/>
          <w:lang w:eastAsia="ar-SA"/>
        </w:rPr>
        <w:t xml:space="preserve">, </w:t>
      </w:r>
      <w:proofErr w:type="spellStart"/>
      <w:r w:rsidRPr="00CA34D5">
        <w:rPr>
          <w:b/>
          <w:color w:val="auto"/>
          <w:kern w:val="0"/>
          <w:lang w:eastAsia="ar-SA"/>
        </w:rPr>
        <w:t>док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укупна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цена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из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понуде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дата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на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бази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јединичних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цена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представља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основ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за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избор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економски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најповољније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понуде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применом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критеријума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 „</w:t>
      </w:r>
      <w:proofErr w:type="spellStart"/>
      <w:r w:rsidRPr="00CA34D5">
        <w:rPr>
          <w:b/>
          <w:color w:val="auto"/>
          <w:kern w:val="0"/>
          <w:lang w:eastAsia="ar-SA"/>
        </w:rPr>
        <w:t>најнижа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понуђена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цена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“ и </w:t>
      </w:r>
      <w:proofErr w:type="spellStart"/>
      <w:r w:rsidRPr="00CA34D5">
        <w:rPr>
          <w:b/>
          <w:color w:val="auto"/>
          <w:kern w:val="0"/>
          <w:lang w:eastAsia="ar-SA"/>
        </w:rPr>
        <w:t>служи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за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вредновање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понуда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по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том</w:t>
      </w:r>
      <w:proofErr w:type="spellEnd"/>
      <w:r w:rsidRPr="00CA34D5">
        <w:rPr>
          <w:b/>
          <w:color w:val="auto"/>
          <w:kern w:val="0"/>
          <w:lang w:eastAsia="ar-SA"/>
        </w:rPr>
        <w:t xml:space="preserve"> </w:t>
      </w:r>
      <w:proofErr w:type="spellStart"/>
      <w:r w:rsidRPr="00CA34D5">
        <w:rPr>
          <w:b/>
          <w:color w:val="auto"/>
          <w:kern w:val="0"/>
          <w:lang w:eastAsia="ar-SA"/>
        </w:rPr>
        <w:t>основу</w:t>
      </w:r>
      <w:proofErr w:type="spellEnd"/>
      <w:r w:rsidRPr="00CA34D5">
        <w:rPr>
          <w:b/>
          <w:color w:val="auto"/>
          <w:kern w:val="0"/>
          <w:lang w:eastAsia="ar-SA"/>
        </w:rPr>
        <w:t>.</w:t>
      </w:r>
    </w:p>
    <w:p w:rsidR="00DF33F4" w:rsidRDefault="00820387" w:rsidP="00A5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b/>
          <w:color w:val="auto"/>
          <w:kern w:val="0"/>
          <w:lang w:eastAsia="ar-SA"/>
        </w:rPr>
      </w:pPr>
      <w:proofErr w:type="spellStart"/>
      <w:r w:rsidRPr="006E1B42">
        <w:rPr>
          <w:b/>
          <w:color w:val="auto"/>
          <w:kern w:val="0"/>
          <w:lang w:eastAsia="ar-SA"/>
        </w:rPr>
        <w:t>На</w:t>
      </w:r>
      <w:proofErr w:type="spellEnd"/>
      <w:r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Pr="006E1B42">
        <w:rPr>
          <w:b/>
          <w:color w:val="auto"/>
          <w:kern w:val="0"/>
          <w:lang w:eastAsia="ar-SA"/>
        </w:rPr>
        <w:t>основу</w:t>
      </w:r>
      <w:proofErr w:type="spellEnd"/>
      <w:r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Pr="006E1B42">
        <w:rPr>
          <w:b/>
          <w:color w:val="auto"/>
          <w:kern w:val="0"/>
          <w:lang w:eastAsia="ar-SA"/>
        </w:rPr>
        <w:t>чана</w:t>
      </w:r>
      <w:proofErr w:type="spellEnd"/>
      <w:r w:rsidRPr="006E1B42">
        <w:rPr>
          <w:b/>
          <w:color w:val="auto"/>
          <w:kern w:val="0"/>
          <w:lang w:eastAsia="ar-SA"/>
        </w:rPr>
        <w:t xml:space="preserve"> 118. </w:t>
      </w:r>
      <w:proofErr w:type="spellStart"/>
      <w:r w:rsidRPr="006E1B42">
        <w:rPr>
          <w:b/>
          <w:color w:val="auto"/>
          <w:kern w:val="0"/>
          <w:lang w:eastAsia="ar-SA"/>
        </w:rPr>
        <w:t>Закона</w:t>
      </w:r>
      <w:proofErr w:type="spellEnd"/>
      <w:r w:rsidRPr="006E1B42">
        <w:rPr>
          <w:b/>
          <w:color w:val="auto"/>
          <w:kern w:val="0"/>
          <w:lang w:eastAsia="ar-SA"/>
        </w:rPr>
        <w:t xml:space="preserve"> о </w:t>
      </w:r>
      <w:proofErr w:type="spellStart"/>
      <w:r w:rsidRPr="006E1B42">
        <w:rPr>
          <w:b/>
          <w:color w:val="auto"/>
          <w:kern w:val="0"/>
          <w:lang w:eastAsia="ar-SA"/>
        </w:rPr>
        <w:t>раду</w:t>
      </w:r>
      <w:proofErr w:type="spellEnd"/>
      <w:r w:rsidRPr="006E1B42">
        <w:rPr>
          <w:b/>
          <w:color w:val="auto"/>
          <w:kern w:val="0"/>
          <w:lang w:eastAsia="ar-SA"/>
        </w:rPr>
        <w:t xml:space="preserve"> („</w:t>
      </w:r>
      <w:proofErr w:type="spellStart"/>
      <w:r w:rsidRPr="006E1B42">
        <w:rPr>
          <w:b/>
          <w:color w:val="auto"/>
          <w:kern w:val="0"/>
          <w:lang w:eastAsia="ar-SA"/>
        </w:rPr>
        <w:t>Сл.Гласник</w:t>
      </w:r>
      <w:proofErr w:type="spellEnd"/>
      <w:r w:rsidRPr="006E1B42">
        <w:rPr>
          <w:b/>
          <w:color w:val="auto"/>
          <w:kern w:val="0"/>
          <w:lang w:eastAsia="ar-SA"/>
        </w:rPr>
        <w:t xml:space="preserve"> РС</w:t>
      </w:r>
      <w:proofErr w:type="gramStart"/>
      <w:r w:rsidRPr="006E1B42">
        <w:rPr>
          <w:b/>
          <w:color w:val="auto"/>
          <w:kern w:val="0"/>
          <w:lang w:eastAsia="ar-SA"/>
        </w:rPr>
        <w:t xml:space="preserve">“ </w:t>
      </w:r>
      <w:proofErr w:type="spellStart"/>
      <w:r w:rsidRPr="006E1B42">
        <w:rPr>
          <w:b/>
          <w:color w:val="auto"/>
          <w:kern w:val="0"/>
          <w:lang w:eastAsia="ar-SA"/>
        </w:rPr>
        <w:t>бр</w:t>
      </w:r>
      <w:proofErr w:type="spellEnd"/>
      <w:proofErr w:type="gramEnd"/>
      <w:r w:rsidRPr="006E1B42">
        <w:rPr>
          <w:b/>
          <w:color w:val="auto"/>
          <w:kern w:val="0"/>
          <w:lang w:eastAsia="ar-SA"/>
        </w:rPr>
        <w:t xml:space="preserve">. 24/05, 61/05, 54/09, 32/13, 75/14 и </w:t>
      </w:r>
      <w:r w:rsidR="00367486" w:rsidRPr="006E1B42">
        <w:rPr>
          <w:b/>
          <w:color w:val="auto"/>
          <w:kern w:val="0"/>
          <w:lang w:eastAsia="ar-SA"/>
        </w:rPr>
        <w:t xml:space="preserve">13/17) и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Одлуке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начелника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општи</w:t>
      </w:r>
      <w:r w:rsidRPr="006E1B42">
        <w:rPr>
          <w:b/>
          <w:color w:val="auto"/>
          <w:kern w:val="0"/>
          <w:lang w:eastAsia="ar-SA"/>
        </w:rPr>
        <w:t>нске</w:t>
      </w:r>
      <w:proofErr w:type="spellEnd"/>
      <w:r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Pr="006E1B42">
        <w:rPr>
          <w:b/>
          <w:color w:val="auto"/>
          <w:kern w:val="0"/>
          <w:lang w:eastAsia="ar-SA"/>
        </w:rPr>
        <w:t>управе</w:t>
      </w:r>
      <w:proofErr w:type="spellEnd"/>
      <w:r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Pr="006E1B42">
        <w:rPr>
          <w:b/>
          <w:color w:val="auto"/>
          <w:kern w:val="0"/>
          <w:lang w:eastAsia="ar-SA"/>
        </w:rPr>
        <w:t>Оџаци</w:t>
      </w:r>
      <w:proofErr w:type="spellEnd"/>
      <w:r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Pr="006E1B42">
        <w:rPr>
          <w:b/>
          <w:color w:val="auto"/>
          <w:kern w:val="0"/>
          <w:lang w:eastAsia="ar-SA"/>
        </w:rPr>
        <w:t>број</w:t>
      </w:r>
      <w:proofErr w:type="spellEnd"/>
      <w:r w:rsidRPr="006E1B42">
        <w:rPr>
          <w:b/>
          <w:color w:val="auto"/>
          <w:kern w:val="0"/>
          <w:lang w:eastAsia="ar-SA"/>
        </w:rPr>
        <w:t xml:space="preserve"> 03-2-59/2018-IV</w:t>
      </w:r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од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01.02.2018. </w:t>
      </w:r>
      <w:proofErr w:type="spellStart"/>
      <w:proofErr w:type="gramStart"/>
      <w:r w:rsidR="00367486" w:rsidRPr="006E1B42">
        <w:rPr>
          <w:b/>
          <w:color w:val="auto"/>
          <w:kern w:val="0"/>
          <w:lang w:eastAsia="ar-SA"/>
        </w:rPr>
        <w:t>године</w:t>
      </w:r>
      <w:proofErr w:type="spellEnd"/>
      <w:proofErr w:type="gram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наручилац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ће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у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оквиру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процењене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вредности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предметне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јавне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набавке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исплатити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трошкове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превоза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за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долазак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на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рад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и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за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одлазак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са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рада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у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висини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цене</w:t>
      </w:r>
      <w:proofErr w:type="spellEnd"/>
      <w:r w:rsidR="00367486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367486" w:rsidRPr="006E1B42">
        <w:rPr>
          <w:b/>
          <w:color w:val="auto"/>
          <w:kern w:val="0"/>
          <w:lang w:eastAsia="ar-SA"/>
        </w:rPr>
        <w:t>превозне</w:t>
      </w:r>
      <w:proofErr w:type="spellEnd"/>
      <w:r w:rsidR="00262F93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262F93" w:rsidRPr="006E1B42">
        <w:rPr>
          <w:b/>
          <w:color w:val="auto"/>
          <w:kern w:val="0"/>
          <w:lang w:eastAsia="ar-SA"/>
        </w:rPr>
        <w:t>карте</w:t>
      </w:r>
      <w:proofErr w:type="spellEnd"/>
      <w:r w:rsidR="00262F93" w:rsidRPr="006E1B42">
        <w:rPr>
          <w:b/>
          <w:color w:val="auto"/>
          <w:kern w:val="0"/>
          <w:lang w:eastAsia="ar-SA"/>
        </w:rPr>
        <w:t xml:space="preserve"> у </w:t>
      </w:r>
      <w:proofErr w:type="spellStart"/>
      <w:r w:rsidR="00262F93" w:rsidRPr="006E1B42">
        <w:rPr>
          <w:b/>
          <w:color w:val="auto"/>
          <w:kern w:val="0"/>
          <w:lang w:eastAsia="ar-SA"/>
        </w:rPr>
        <w:t>приградском</w:t>
      </w:r>
      <w:proofErr w:type="spellEnd"/>
      <w:r w:rsidR="00262F93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262F93" w:rsidRPr="006E1B42">
        <w:rPr>
          <w:b/>
          <w:color w:val="auto"/>
          <w:kern w:val="0"/>
          <w:lang w:eastAsia="ar-SA"/>
        </w:rPr>
        <w:t>односно</w:t>
      </w:r>
      <w:proofErr w:type="spellEnd"/>
      <w:r w:rsidR="00262F93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262F93" w:rsidRPr="006E1B42">
        <w:rPr>
          <w:b/>
          <w:color w:val="auto"/>
          <w:kern w:val="0"/>
          <w:lang w:eastAsia="ar-SA"/>
        </w:rPr>
        <w:t>међу</w:t>
      </w:r>
      <w:r w:rsidR="00DF33F4">
        <w:rPr>
          <w:b/>
          <w:color w:val="auto"/>
          <w:kern w:val="0"/>
          <w:lang w:eastAsia="ar-SA"/>
        </w:rPr>
        <w:t>градском</w:t>
      </w:r>
      <w:proofErr w:type="spellEnd"/>
      <w:r w:rsid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="00DF33F4">
        <w:rPr>
          <w:b/>
          <w:color w:val="auto"/>
          <w:kern w:val="0"/>
          <w:lang w:eastAsia="ar-SA"/>
        </w:rPr>
        <w:t>саобраћају</w:t>
      </w:r>
      <w:proofErr w:type="spellEnd"/>
      <w:r w:rsidR="00DF33F4">
        <w:rPr>
          <w:b/>
          <w:color w:val="auto"/>
          <w:kern w:val="0"/>
          <w:lang w:eastAsia="ar-SA"/>
        </w:rPr>
        <w:t>:</w:t>
      </w:r>
    </w:p>
    <w:p w:rsidR="00DF33F4" w:rsidRPr="00DF33F4" w:rsidRDefault="00262F93" w:rsidP="00DF33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b/>
          <w:color w:val="auto"/>
          <w:kern w:val="0"/>
          <w:lang w:eastAsia="ar-SA"/>
        </w:rPr>
      </w:pPr>
      <w:r w:rsidRPr="00DF33F4">
        <w:rPr>
          <w:b/>
          <w:color w:val="auto"/>
          <w:kern w:val="0"/>
          <w:lang w:eastAsia="ar-SA"/>
        </w:rPr>
        <w:t>ЗОНА О: (</w:t>
      </w:r>
      <w:proofErr w:type="spellStart"/>
      <w:r w:rsidRPr="00DF33F4">
        <w:rPr>
          <w:b/>
          <w:color w:val="auto"/>
          <w:kern w:val="0"/>
          <w:lang w:eastAsia="ar-SA"/>
        </w:rPr>
        <w:t>запослени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којима</w:t>
      </w:r>
      <w:proofErr w:type="spellEnd"/>
      <w:r w:rsidRPr="00DF33F4">
        <w:rPr>
          <w:b/>
          <w:color w:val="auto"/>
          <w:kern w:val="0"/>
          <w:lang w:eastAsia="ar-SA"/>
        </w:rPr>
        <w:t xml:space="preserve"> је </w:t>
      </w:r>
      <w:proofErr w:type="spellStart"/>
      <w:r w:rsidRPr="00DF33F4">
        <w:rPr>
          <w:b/>
          <w:color w:val="auto"/>
          <w:kern w:val="0"/>
          <w:lang w:eastAsia="ar-SA"/>
        </w:rPr>
        <w:t>место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пребивалишта</w:t>
      </w:r>
      <w:proofErr w:type="spellEnd"/>
      <w:r w:rsidRPr="00DF33F4">
        <w:rPr>
          <w:b/>
          <w:color w:val="auto"/>
          <w:kern w:val="0"/>
          <w:lang w:eastAsia="ar-SA"/>
        </w:rPr>
        <w:t xml:space="preserve"> у </w:t>
      </w:r>
      <w:proofErr w:type="spellStart"/>
      <w:r w:rsidRPr="00DF33F4">
        <w:rPr>
          <w:b/>
          <w:color w:val="auto"/>
          <w:kern w:val="0"/>
          <w:lang w:eastAsia="ar-SA"/>
        </w:rPr>
        <w:t>месту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радног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ангажовања</w:t>
      </w:r>
      <w:proofErr w:type="spellEnd"/>
      <w:r w:rsidRPr="00DF33F4">
        <w:rPr>
          <w:b/>
          <w:color w:val="auto"/>
          <w:kern w:val="0"/>
          <w:lang w:eastAsia="ar-SA"/>
        </w:rPr>
        <w:t xml:space="preserve">) </w:t>
      </w:r>
      <w:proofErr w:type="spellStart"/>
      <w:r w:rsidRPr="00DF33F4">
        <w:rPr>
          <w:b/>
          <w:color w:val="auto"/>
          <w:kern w:val="0"/>
          <w:lang w:eastAsia="ar-SA"/>
        </w:rPr>
        <w:t>по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цени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од</w:t>
      </w:r>
      <w:proofErr w:type="spellEnd"/>
      <w:r w:rsidRPr="00DF33F4">
        <w:rPr>
          <w:b/>
          <w:color w:val="auto"/>
          <w:kern w:val="0"/>
          <w:lang w:eastAsia="ar-SA"/>
        </w:rPr>
        <w:t xml:space="preserve"> 70 </w:t>
      </w:r>
      <w:proofErr w:type="spellStart"/>
      <w:r w:rsidRPr="00DF33F4">
        <w:rPr>
          <w:b/>
          <w:color w:val="auto"/>
          <w:kern w:val="0"/>
          <w:lang w:eastAsia="ar-SA"/>
        </w:rPr>
        <w:t>динара</w:t>
      </w:r>
      <w:proofErr w:type="spellEnd"/>
      <w:r w:rsidRPr="00DF33F4">
        <w:rPr>
          <w:b/>
          <w:color w:val="auto"/>
          <w:kern w:val="0"/>
          <w:lang w:eastAsia="ar-SA"/>
        </w:rPr>
        <w:t xml:space="preserve"> у </w:t>
      </w:r>
      <w:proofErr w:type="spellStart"/>
      <w:r w:rsidRPr="00DF33F4">
        <w:rPr>
          <w:b/>
          <w:color w:val="auto"/>
          <w:kern w:val="0"/>
          <w:lang w:eastAsia="ar-SA"/>
        </w:rPr>
        <w:t>једном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правцу</w:t>
      </w:r>
      <w:proofErr w:type="spellEnd"/>
    </w:p>
    <w:p w:rsidR="00A52ACB" w:rsidRPr="00DF33F4" w:rsidRDefault="00262F93" w:rsidP="00DF33F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b/>
          <w:color w:val="auto"/>
          <w:kern w:val="0"/>
          <w:lang w:eastAsia="ar-SA"/>
        </w:rPr>
      </w:pPr>
      <w:r w:rsidRPr="00DF33F4">
        <w:rPr>
          <w:b/>
          <w:color w:val="auto"/>
          <w:kern w:val="0"/>
          <w:lang w:eastAsia="ar-SA"/>
        </w:rPr>
        <w:t>ЗОНА I:  (</w:t>
      </w:r>
      <w:proofErr w:type="spellStart"/>
      <w:r w:rsidRPr="00DF33F4">
        <w:rPr>
          <w:b/>
          <w:color w:val="auto"/>
          <w:kern w:val="0"/>
          <w:lang w:eastAsia="ar-SA"/>
        </w:rPr>
        <w:t>Ратково</w:t>
      </w:r>
      <w:proofErr w:type="spellEnd"/>
      <w:r w:rsidRPr="00DF33F4">
        <w:rPr>
          <w:b/>
          <w:color w:val="auto"/>
          <w:kern w:val="0"/>
          <w:lang w:eastAsia="ar-SA"/>
        </w:rPr>
        <w:t xml:space="preserve">, </w:t>
      </w:r>
      <w:proofErr w:type="spellStart"/>
      <w:r w:rsidRPr="00DF33F4">
        <w:rPr>
          <w:b/>
          <w:color w:val="auto"/>
          <w:kern w:val="0"/>
          <w:lang w:eastAsia="ar-SA"/>
        </w:rPr>
        <w:t>Дероње</w:t>
      </w:r>
      <w:proofErr w:type="spellEnd"/>
      <w:r w:rsidRPr="00DF33F4">
        <w:rPr>
          <w:b/>
          <w:color w:val="auto"/>
          <w:kern w:val="0"/>
          <w:lang w:eastAsia="ar-SA"/>
        </w:rPr>
        <w:t xml:space="preserve">, </w:t>
      </w:r>
      <w:proofErr w:type="spellStart"/>
      <w:r w:rsidRPr="00DF33F4">
        <w:rPr>
          <w:b/>
          <w:color w:val="auto"/>
          <w:kern w:val="0"/>
          <w:lang w:eastAsia="ar-SA"/>
        </w:rPr>
        <w:t>Лалић</w:t>
      </w:r>
      <w:proofErr w:type="spellEnd"/>
      <w:r w:rsidRPr="00DF33F4">
        <w:rPr>
          <w:b/>
          <w:color w:val="auto"/>
          <w:kern w:val="0"/>
          <w:lang w:eastAsia="ar-SA"/>
        </w:rPr>
        <w:t xml:space="preserve">, </w:t>
      </w:r>
      <w:proofErr w:type="spellStart"/>
      <w:r w:rsidRPr="00DF33F4">
        <w:rPr>
          <w:b/>
          <w:color w:val="auto"/>
          <w:kern w:val="0"/>
          <w:lang w:eastAsia="ar-SA"/>
        </w:rPr>
        <w:t>Српски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Милетић</w:t>
      </w:r>
      <w:proofErr w:type="spellEnd"/>
      <w:r w:rsidRPr="00DF33F4">
        <w:rPr>
          <w:b/>
          <w:color w:val="auto"/>
          <w:kern w:val="0"/>
          <w:lang w:eastAsia="ar-SA"/>
        </w:rPr>
        <w:t xml:space="preserve">, </w:t>
      </w:r>
      <w:proofErr w:type="spellStart"/>
      <w:r w:rsidRPr="00DF33F4">
        <w:rPr>
          <w:b/>
          <w:color w:val="auto"/>
          <w:kern w:val="0"/>
          <w:lang w:eastAsia="ar-SA"/>
        </w:rPr>
        <w:t>Бачки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Pr="00DF33F4">
        <w:rPr>
          <w:b/>
          <w:color w:val="auto"/>
          <w:kern w:val="0"/>
          <w:lang w:eastAsia="ar-SA"/>
        </w:rPr>
        <w:t>Гр</w:t>
      </w:r>
      <w:r w:rsidR="006E1B42" w:rsidRPr="00DF33F4">
        <w:rPr>
          <w:b/>
          <w:color w:val="auto"/>
          <w:kern w:val="0"/>
          <w:lang w:eastAsia="ar-SA"/>
        </w:rPr>
        <w:t>ачац</w:t>
      </w:r>
      <w:proofErr w:type="spellEnd"/>
      <w:r w:rsidR="006E1B42" w:rsidRPr="00DF33F4">
        <w:rPr>
          <w:b/>
          <w:color w:val="auto"/>
          <w:kern w:val="0"/>
          <w:lang w:eastAsia="ar-SA"/>
        </w:rPr>
        <w:t xml:space="preserve"> и </w:t>
      </w:r>
      <w:proofErr w:type="spellStart"/>
      <w:r w:rsidR="006E1B42" w:rsidRPr="00DF33F4">
        <w:rPr>
          <w:b/>
          <w:color w:val="auto"/>
          <w:kern w:val="0"/>
          <w:lang w:eastAsia="ar-SA"/>
        </w:rPr>
        <w:t>Каравуково</w:t>
      </w:r>
      <w:proofErr w:type="spellEnd"/>
      <w:r w:rsidR="006E1B42" w:rsidRPr="00DF33F4">
        <w:rPr>
          <w:b/>
          <w:color w:val="auto"/>
          <w:kern w:val="0"/>
          <w:lang w:eastAsia="ar-SA"/>
        </w:rPr>
        <w:t xml:space="preserve">) </w:t>
      </w:r>
      <w:proofErr w:type="spellStart"/>
      <w:r w:rsidR="006E1B42" w:rsidRPr="00DF33F4">
        <w:rPr>
          <w:b/>
          <w:color w:val="auto"/>
          <w:kern w:val="0"/>
          <w:lang w:eastAsia="ar-SA"/>
        </w:rPr>
        <w:t>по</w:t>
      </w:r>
      <w:proofErr w:type="spellEnd"/>
      <w:r w:rsidR="006E1B42"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="006E1B42" w:rsidRPr="00DF33F4">
        <w:rPr>
          <w:b/>
          <w:color w:val="auto"/>
          <w:kern w:val="0"/>
          <w:lang w:eastAsia="ar-SA"/>
        </w:rPr>
        <w:t>цени</w:t>
      </w:r>
      <w:proofErr w:type="spellEnd"/>
      <w:r w:rsidR="006E1B42"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="006E1B42" w:rsidRPr="00DF33F4">
        <w:rPr>
          <w:b/>
          <w:color w:val="auto"/>
          <w:kern w:val="0"/>
          <w:lang w:eastAsia="ar-SA"/>
        </w:rPr>
        <w:t>од</w:t>
      </w:r>
      <w:proofErr w:type="spellEnd"/>
      <w:r w:rsidR="006E1B42" w:rsidRPr="00DF33F4">
        <w:rPr>
          <w:b/>
          <w:color w:val="auto"/>
          <w:kern w:val="0"/>
          <w:lang w:eastAsia="ar-SA"/>
        </w:rPr>
        <w:t xml:space="preserve"> 23</w:t>
      </w:r>
      <w:r w:rsidRPr="00DF33F4">
        <w:rPr>
          <w:b/>
          <w:color w:val="auto"/>
          <w:kern w:val="0"/>
          <w:lang w:eastAsia="ar-SA"/>
        </w:rPr>
        <w:t xml:space="preserve">0 </w:t>
      </w:r>
      <w:proofErr w:type="spellStart"/>
      <w:r w:rsidRPr="00DF33F4">
        <w:rPr>
          <w:b/>
          <w:color w:val="auto"/>
          <w:kern w:val="0"/>
          <w:lang w:eastAsia="ar-SA"/>
        </w:rPr>
        <w:t>динара</w:t>
      </w:r>
      <w:proofErr w:type="spellEnd"/>
      <w:r w:rsidRPr="00DF33F4">
        <w:rPr>
          <w:b/>
          <w:color w:val="auto"/>
          <w:kern w:val="0"/>
          <w:lang w:eastAsia="ar-SA"/>
        </w:rPr>
        <w:t xml:space="preserve"> </w:t>
      </w:r>
      <w:r w:rsidR="006E1B42" w:rsidRPr="00DF33F4">
        <w:rPr>
          <w:b/>
          <w:color w:val="auto"/>
          <w:kern w:val="0"/>
          <w:lang w:eastAsia="ar-SA"/>
        </w:rPr>
        <w:t xml:space="preserve">у </w:t>
      </w:r>
      <w:proofErr w:type="spellStart"/>
      <w:r w:rsidR="006E1B42" w:rsidRPr="00DF33F4">
        <w:rPr>
          <w:b/>
          <w:color w:val="auto"/>
          <w:kern w:val="0"/>
          <w:lang w:eastAsia="ar-SA"/>
        </w:rPr>
        <w:t>једном</w:t>
      </w:r>
      <w:proofErr w:type="spellEnd"/>
      <w:r w:rsidR="006E1B42" w:rsidRPr="00DF33F4">
        <w:rPr>
          <w:b/>
          <w:color w:val="auto"/>
          <w:kern w:val="0"/>
          <w:lang w:eastAsia="ar-SA"/>
        </w:rPr>
        <w:t xml:space="preserve"> </w:t>
      </w:r>
      <w:proofErr w:type="spellStart"/>
      <w:r w:rsidR="006E1B42" w:rsidRPr="00DF33F4">
        <w:rPr>
          <w:b/>
          <w:color w:val="auto"/>
          <w:kern w:val="0"/>
          <w:lang w:eastAsia="ar-SA"/>
        </w:rPr>
        <w:t>правцу</w:t>
      </w:r>
      <w:proofErr w:type="spellEnd"/>
    </w:p>
    <w:p w:rsidR="00A52ACB" w:rsidRPr="00DF33F4" w:rsidRDefault="00C26456" w:rsidP="006E1B4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jc w:val="both"/>
        <w:textAlignment w:val="auto"/>
        <w:rPr>
          <w:b/>
          <w:color w:val="auto"/>
          <w:kern w:val="0"/>
          <w:lang w:eastAsia="ar-SA"/>
        </w:rPr>
        <w:sectPr w:rsidR="00A52ACB" w:rsidRPr="00DF33F4" w:rsidSect="00A52ACB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  <w:r>
        <w:rPr>
          <w:b/>
          <w:color w:val="auto"/>
          <w:kern w:val="0"/>
          <w:lang w:eastAsia="ar-SA"/>
        </w:rPr>
        <w:t>ЗОНА II: (Б</w:t>
      </w:r>
      <w:r>
        <w:rPr>
          <w:b/>
          <w:color w:val="auto"/>
          <w:kern w:val="0"/>
          <w:lang w:val="sr-Cyrl-RS" w:eastAsia="ar-SA"/>
        </w:rPr>
        <w:t>ачки</w:t>
      </w:r>
      <w:bookmarkStart w:id="0" w:name="_GoBack"/>
      <w:bookmarkEnd w:id="0"/>
      <w:r w:rsidR="006E1B42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6E1B42" w:rsidRPr="006E1B42">
        <w:rPr>
          <w:b/>
          <w:color w:val="auto"/>
          <w:kern w:val="0"/>
          <w:lang w:eastAsia="ar-SA"/>
        </w:rPr>
        <w:t>Брестовац</w:t>
      </w:r>
      <w:proofErr w:type="spellEnd"/>
      <w:r w:rsidR="006E1B42" w:rsidRPr="006E1B42">
        <w:rPr>
          <w:b/>
          <w:color w:val="auto"/>
          <w:kern w:val="0"/>
          <w:lang w:eastAsia="ar-SA"/>
        </w:rPr>
        <w:t xml:space="preserve"> и </w:t>
      </w:r>
      <w:proofErr w:type="spellStart"/>
      <w:r w:rsidR="006E1B42" w:rsidRPr="006E1B42">
        <w:rPr>
          <w:b/>
          <w:color w:val="auto"/>
          <w:kern w:val="0"/>
          <w:lang w:eastAsia="ar-SA"/>
        </w:rPr>
        <w:t>Богојево</w:t>
      </w:r>
      <w:proofErr w:type="spellEnd"/>
      <w:r w:rsidR="006E1B42" w:rsidRPr="006E1B42">
        <w:rPr>
          <w:b/>
          <w:color w:val="auto"/>
          <w:kern w:val="0"/>
          <w:lang w:eastAsia="ar-SA"/>
        </w:rPr>
        <w:t xml:space="preserve">) </w:t>
      </w:r>
      <w:proofErr w:type="spellStart"/>
      <w:r w:rsidR="006E1B42" w:rsidRPr="006E1B42">
        <w:rPr>
          <w:b/>
          <w:color w:val="auto"/>
          <w:kern w:val="0"/>
          <w:lang w:eastAsia="ar-SA"/>
        </w:rPr>
        <w:t>по</w:t>
      </w:r>
      <w:proofErr w:type="spellEnd"/>
      <w:r w:rsidR="006E1B42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6E1B42" w:rsidRPr="006E1B42">
        <w:rPr>
          <w:b/>
          <w:color w:val="auto"/>
          <w:kern w:val="0"/>
          <w:lang w:eastAsia="ar-SA"/>
        </w:rPr>
        <w:t>цени</w:t>
      </w:r>
      <w:proofErr w:type="spellEnd"/>
      <w:r w:rsidR="006E1B42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6E1B42" w:rsidRPr="006E1B42">
        <w:rPr>
          <w:b/>
          <w:color w:val="auto"/>
          <w:kern w:val="0"/>
          <w:lang w:eastAsia="ar-SA"/>
        </w:rPr>
        <w:t>од</w:t>
      </w:r>
      <w:proofErr w:type="spellEnd"/>
      <w:r w:rsidR="006E1B42" w:rsidRPr="006E1B42">
        <w:rPr>
          <w:b/>
          <w:color w:val="auto"/>
          <w:kern w:val="0"/>
          <w:lang w:eastAsia="ar-SA"/>
        </w:rPr>
        <w:t xml:space="preserve"> 250 </w:t>
      </w:r>
      <w:proofErr w:type="spellStart"/>
      <w:r w:rsidR="006E1B42" w:rsidRPr="006E1B42">
        <w:rPr>
          <w:b/>
          <w:color w:val="auto"/>
          <w:kern w:val="0"/>
          <w:lang w:eastAsia="ar-SA"/>
        </w:rPr>
        <w:t>динара</w:t>
      </w:r>
      <w:proofErr w:type="spellEnd"/>
      <w:r w:rsidR="006E1B42" w:rsidRPr="006E1B42">
        <w:rPr>
          <w:b/>
          <w:color w:val="auto"/>
          <w:kern w:val="0"/>
          <w:lang w:eastAsia="ar-SA"/>
        </w:rPr>
        <w:t xml:space="preserve"> у </w:t>
      </w:r>
      <w:proofErr w:type="spellStart"/>
      <w:r w:rsidR="006E1B42" w:rsidRPr="006E1B42">
        <w:rPr>
          <w:b/>
          <w:color w:val="auto"/>
          <w:kern w:val="0"/>
          <w:lang w:eastAsia="ar-SA"/>
        </w:rPr>
        <w:t>једном</w:t>
      </w:r>
      <w:proofErr w:type="spellEnd"/>
      <w:r w:rsidR="006E1B42" w:rsidRPr="006E1B42">
        <w:rPr>
          <w:b/>
          <w:color w:val="auto"/>
          <w:kern w:val="0"/>
          <w:lang w:eastAsia="ar-SA"/>
        </w:rPr>
        <w:t xml:space="preserve"> </w:t>
      </w:r>
      <w:proofErr w:type="spellStart"/>
      <w:r w:rsidR="006E1B42" w:rsidRPr="006E1B42">
        <w:rPr>
          <w:b/>
          <w:color w:val="auto"/>
          <w:kern w:val="0"/>
          <w:lang w:eastAsia="ar-SA"/>
        </w:rPr>
        <w:t>правцу</w:t>
      </w:r>
      <w:proofErr w:type="spellEnd"/>
    </w:p>
    <w:p w:rsidR="00B33BF7" w:rsidRPr="00DF33F4" w:rsidRDefault="00B33BF7" w:rsidP="00DF33F4">
      <w:pPr>
        <w:pBdr>
          <w:bottom w:val="none" w:sz="0" w:space="30" w:color="000000"/>
        </w:pBdr>
      </w:pPr>
    </w:p>
    <w:sectPr w:rsidR="00B33BF7" w:rsidRPr="00DF33F4" w:rsidSect="00A52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717C0"/>
    <w:multiLevelType w:val="hybridMultilevel"/>
    <w:tmpl w:val="89B67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89D"/>
    <w:multiLevelType w:val="hybridMultilevel"/>
    <w:tmpl w:val="BB36AC70"/>
    <w:lvl w:ilvl="0" w:tplc="6A1651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746"/>
    <w:multiLevelType w:val="hybridMultilevel"/>
    <w:tmpl w:val="779E7462"/>
    <w:lvl w:ilvl="0" w:tplc="3208A9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50BF"/>
    <w:multiLevelType w:val="hybridMultilevel"/>
    <w:tmpl w:val="ED661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ACB"/>
    <w:rsid w:val="00262F93"/>
    <w:rsid w:val="002B093C"/>
    <w:rsid w:val="00321766"/>
    <w:rsid w:val="003664FF"/>
    <w:rsid w:val="00367486"/>
    <w:rsid w:val="00495520"/>
    <w:rsid w:val="00623ABA"/>
    <w:rsid w:val="006438D9"/>
    <w:rsid w:val="006E1B42"/>
    <w:rsid w:val="00794E7C"/>
    <w:rsid w:val="007B0CB6"/>
    <w:rsid w:val="00820387"/>
    <w:rsid w:val="008250CF"/>
    <w:rsid w:val="008C6BE9"/>
    <w:rsid w:val="00975793"/>
    <w:rsid w:val="009A0A6C"/>
    <w:rsid w:val="00A47A3A"/>
    <w:rsid w:val="00A52ACB"/>
    <w:rsid w:val="00AC69A8"/>
    <w:rsid w:val="00B33BF7"/>
    <w:rsid w:val="00C26456"/>
    <w:rsid w:val="00CA34D5"/>
    <w:rsid w:val="00DC55B9"/>
    <w:rsid w:val="00DF33F4"/>
    <w:rsid w:val="00E91FDD"/>
    <w:rsid w:val="00F55B30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09043-94CA-465A-B8AC-C80767E4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2020-11-16T13:48:00Z</dcterms:created>
  <dcterms:modified xsi:type="dcterms:W3CDTF">2020-11-17T07:39:00Z</dcterms:modified>
</cp:coreProperties>
</file>