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CA" w:rsidRDefault="00465C72" w:rsidP="00465C72">
      <w:pPr>
        <w:spacing w:after="0"/>
        <w:jc w:val="center"/>
        <w:rPr>
          <w:rFonts w:asciiTheme="majorHAnsi" w:hAnsiTheme="majorHAnsi"/>
          <w:b/>
          <w:sz w:val="28"/>
          <w:szCs w:val="28"/>
        </w:rPr>
      </w:pPr>
      <w:r w:rsidRPr="00465C72">
        <w:rPr>
          <w:rFonts w:asciiTheme="majorHAnsi" w:hAnsiTheme="majorHAnsi"/>
          <w:b/>
          <w:sz w:val="28"/>
          <w:szCs w:val="28"/>
        </w:rPr>
        <w:t>ОБРАЗАЦ СТРУКТУРЕ ЦЕНЕ СА УПУТСВОМ КАКО ДА СЕ ПОПУНИ</w:t>
      </w:r>
    </w:p>
    <w:p w:rsidR="00465C72" w:rsidRDefault="00465C72" w:rsidP="00465C72">
      <w:pPr>
        <w:spacing w:after="0"/>
        <w:jc w:val="center"/>
        <w:rPr>
          <w:rFonts w:asciiTheme="majorHAnsi" w:hAnsiTheme="majorHAnsi"/>
          <w:b/>
          <w:sz w:val="28"/>
          <w:szCs w:val="28"/>
        </w:rPr>
      </w:pPr>
      <w:r>
        <w:rPr>
          <w:rFonts w:asciiTheme="majorHAnsi" w:hAnsiTheme="majorHAnsi"/>
          <w:b/>
          <w:sz w:val="28"/>
          <w:szCs w:val="28"/>
        </w:rPr>
        <w:t>За јавну набавку број 404-1-2</w:t>
      </w:r>
      <w:r w:rsidR="00132BE4">
        <w:rPr>
          <w:rFonts w:asciiTheme="majorHAnsi" w:hAnsiTheme="majorHAnsi"/>
          <w:b/>
          <w:sz w:val="28"/>
          <w:szCs w:val="28"/>
          <w:lang/>
        </w:rPr>
        <w:t>3</w:t>
      </w:r>
      <w:r>
        <w:rPr>
          <w:rFonts w:asciiTheme="majorHAnsi" w:hAnsiTheme="majorHAnsi"/>
          <w:b/>
          <w:sz w:val="28"/>
          <w:szCs w:val="28"/>
        </w:rPr>
        <w:t>/2020</w:t>
      </w:r>
    </w:p>
    <w:p w:rsidR="00465C72" w:rsidRDefault="00132BE4" w:rsidP="00465C72">
      <w:pPr>
        <w:spacing w:after="0" w:line="240" w:lineRule="auto"/>
        <w:jc w:val="center"/>
        <w:rPr>
          <w:rFonts w:ascii="Cambria" w:eastAsia="Times New Roman" w:hAnsi="Cambria"/>
          <w:b/>
          <w:sz w:val="24"/>
          <w:szCs w:val="24"/>
          <w:lang w:val="sr-Cyrl-CS"/>
        </w:rPr>
      </w:pPr>
      <w:r>
        <w:rPr>
          <w:rFonts w:ascii="Cambria" w:eastAsia="Times New Roman" w:hAnsi="Cambria"/>
          <w:b/>
          <w:sz w:val="24"/>
          <w:szCs w:val="24"/>
          <w:lang w:val="sr-Cyrl-CS"/>
        </w:rPr>
        <w:t>РАДОВИ Н</w:t>
      </w:r>
      <w:r w:rsidRPr="00346FCF">
        <w:rPr>
          <w:rFonts w:ascii="Cambria" w:eastAsia="Times New Roman" w:hAnsi="Cambria"/>
          <w:b/>
          <w:sz w:val="24"/>
          <w:szCs w:val="24"/>
          <w:lang w:val="sr-Cyrl-CS"/>
        </w:rPr>
        <w:t>А</w:t>
      </w:r>
      <w:r>
        <w:rPr>
          <w:rFonts w:ascii="Cambria" w:eastAsia="Times New Roman" w:hAnsi="Cambria"/>
          <w:b/>
          <w:sz w:val="24"/>
          <w:szCs w:val="24"/>
          <w:lang w:val="sr-Cyrl-CS"/>
        </w:rPr>
        <w:t xml:space="preserve"> </w:t>
      </w:r>
      <w:r w:rsidRPr="00346FCF">
        <w:rPr>
          <w:rFonts w:ascii="Cambria" w:eastAsia="Times New Roman" w:hAnsi="Cambria"/>
          <w:b/>
          <w:sz w:val="24"/>
          <w:szCs w:val="24"/>
          <w:lang w:val="sr-Cyrl-CS"/>
        </w:rPr>
        <w:t>ЗАМЕНИ ПОСТОЈЕЋЕ ОГРАДЕ И ПОСТАВЉАЊЕ НОВЕ У ПРЕДШКОЛСКОЈ УСТАНОВИ У ОЏАЦИМА</w:t>
      </w:r>
    </w:p>
    <w:tbl>
      <w:tblPr>
        <w:tblStyle w:val="TableGrid"/>
        <w:tblW w:w="13770" w:type="dxa"/>
        <w:tblInd w:w="-342" w:type="dxa"/>
        <w:tblLayout w:type="fixed"/>
        <w:tblLook w:val="04A0"/>
      </w:tblPr>
      <w:tblGrid>
        <w:gridCol w:w="630"/>
        <w:gridCol w:w="4821"/>
        <w:gridCol w:w="759"/>
        <w:gridCol w:w="810"/>
        <w:gridCol w:w="1800"/>
        <w:gridCol w:w="1440"/>
        <w:gridCol w:w="1710"/>
        <w:gridCol w:w="1800"/>
      </w:tblGrid>
      <w:tr w:rsidR="00465C72" w:rsidRPr="00132BE4" w:rsidTr="00132BE4">
        <w:tc>
          <w:tcPr>
            <w:tcW w:w="630" w:type="dxa"/>
          </w:tcPr>
          <w:p w:rsidR="00465C72" w:rsidRPr="00465C72" w:rsidRDefault="00132BE4" w:rsidP="00465C72">
            <w:pPr>
              <w:jc w:val="center"/>
              <w:rPr>
                <w:rFonts w:asciiTheme="majorHAnsi" w:eastAsia="Times New Roman" w:hAnsiTheme="majorHAnsi"/>
                <w:sz w:val="24"/>
                <w:szCs w:val="24"/>
                <w:lang w:val="sr-Cyrl-CS"/>
              </w:rPr>
            </w:pPr>
            <w:r>
              <w:rPr>
                <w:rFonts w:asciiTheme="majorHAnsi" w:eastAsia="Times New Roman" w:hAnsiTheme="majorHAnsi"/>
                <w:sz w:val="24"/>
                <w:szCs w:val="24"/>
                <w:lang w:val="sr-Cyrl-CS"/>
              </w:rPr>
              <w:t>Ред</w:t>
            </w:r>
          </w:p>
          <w:p w:rsidR="00465C72" w:rsidRPr="00465C72" w:rsidRDefault="00465C72" w:rsidP="00465C72">
            <w:pPr>
              <w:jc w:val="center"/>
              <w:rPr>
                <w:rFonts w:asciiTheme="majorHAnsi" w:eastAsia="Times New Roman" w:hAnsiTheme="majorHAnsi"/>
                <w:sz w:val="24"/>
                <w:szCs w:val="24"/>
                <w:lang w:val="sr-Cyrl-CS"/>
              </w:rPr>
            </w:pPr>
            <w:r w:rsidRPr="00465C72">
              <w:rPr>
                <w:rFonts w:asciiTheme="majorHAnsi" w:eastAsia="Times New Roman" w:hAnsiTheme="majorHAnsi"/>
                <w:sz w:val="24"/>
                <w:szCs w:val="24"/>
                <w:lang w:val="sr-Cyrl-CS"/>
              </w:rPr>
              <w:t>бр.</w:t>
            </w:r>
          </w:p>
        </w:tc>
        <w:tc>
          <w:tcPr>
            <w:tcW w:w="4821" w:type="dxa"/>
          </w:tcPr>
          <w:p w:rsidR="00465C72" w:rsidRPr="00465C72" w:rsidRDefault="00465C72" w:rsidP="00465C72">
            <w:pPr>
              <w:jc w:val="center"/>
              <w:rPr>
                <w:rFonts w:asciiTheme="majorHAnsi" w:eastAsia="Times New Roman" w:hAnsiTheme="majorHAnsi"/>
                <w:sz w:val="24"/>
                <w:szCs w:val="24"/>
                <w:lang w:val="sr-Cyrl-CS"/>
              </w:rPr>
            </w:pPr>
            <w:r w:rsidRPr="00465C72">
              <w:rPr>
                <w:rFonts w:asciiTheme="majorHAnsi" w:eastAsia="Times New Roman" w:hAnsiTheme="majorHAnsi"/>
                <w:sz w:val="24"/>
                <w:szCs w:val="24"/>
                <w:lang w:val="sr-Cyrl-CS"/>
              </w:rPr>
              <w:t>Назив добра</w:t>
            </w:r>
          </w:p>
        </w:tc>
        <w:tc>
          <w:tcPr>
            <w:tcW w:w="759" w:type="dxa"/>
          </w:tcPr>
          <w:p w:rsidR="00132BE4" w:rsidRDefault="00465C72" w:rsidP="00465C72">
            <w:pPr>
              <w:jc w:val="center"/>
              <w:rPr>
                <w:rFonts w:asciiTheme="majorHAnsi" w:eastAsia="Times New Roman" w:hAnsiTheme="majorHAnsi"/>
                <w:sz w:val="24"/>
                <w:szCs w:val="24"/>
                <w:lang w:val="sr-Cyrl-CS"/>
              </w:rPr>
            </w:pPr>
            <w:r w:rsidRPr="00465C72">
              <w:rPr>
                <w:rFonts w:asciiTheme="majorHAnsi" w:eastAsia="Times New Roman" w:hAnsiTheme="majorHAnsi"/>
                <w:sz w:val="24"/>
                <w:szCs w:val="24"/>
                <w:lang w:val="sr-Cyrl-CS"/>
              </w:rPr>
              <w:t>Јед.</w:t>
            </w:r>
          </w:p>
          <w:p w:rsidR="00465C72" w:rsidRPr="00465C72" w:rsidRDefault="00465C72" w:rsidP="00465C72">
            <w:pPr>
              <w:jc w:val="center"/>
              <w:rPr>
                <w:rFonts w:asciiTheme="majorHAnsi" w:eastAsia="Times New Roman" w:hAnsiTheme="majorHAnsi"/>
                <w:sz w:val="24"/>
                <w:szCs w:val="24"/>
                <w:lang w:val="sr-Cyrl-CS"/>
              </w:rPr>
            </w:pPr>
            <w:r w:rsidRPr="00465C72">
              <w:rPr>
                <w:rFonts w:asciiTheme="majorHAnsi" w:eastAsia="Times New Roman" w:hAnsiTheme="majorHAnsi"/>
                <w:sz w:val="24"/>
                <w:szCs w:val="24"/>
                <w:lang w:val="sr-Cyrl-CS"/>
              </w:rPr>
              <w:t>мере</w:t>
            </w:r>
          </w:p>
        </w:tc>
        <w:tc>
          <w:tcPr>
            <w:tcW w:w="810" w:type="dxa"/>
          </w:tcPr>
          <w:p w:rsidR="00465C72" w:rsidRPr="00465C72" w:rsidRDefault="00465C72" w:rsidP="00D1515F">
            <w:pPr>
              <w:rPr>
                <w:rFonts w:asciiTheme="majorHAnsi" w:hAnsiTheme="majorHAnsi"/>
                <w:sz w:val="24"/>
                <w:szCs w:val="24"/>
                <w:lang w:val="sr-Cyrl-CS"/>
              </w:rPr>
            </w:pPr>
            <w:r w:rsidRPr="00465C72">
              <w:rPr>
                <w:rFonts w:asciiTheme="majorHAnsi" w:hAnsiTheme="majorHAnsi"/>
                <w:sz w:val="24"/>
                <w:szCs w:val="24"/>
                <w:lang w:val="sr-Cyrl-CS"/>
              </w:rPr>
              <w:t>Кол</w:t>
            </w:r>
            <w:r w:rsidR="00D1515F" w:rsidRPr="00D1515F">
              <w:rPr>
                <w:rFonts w:asciiTheme="majorHAnsi" w:hAnsiTheme="majorHAnsi"/>
                <w:sz w:val="24"/>
                <w:szCs w:val="24"/>
                <w:lang w:val="sr-Cyrl-CS"/>
              </w:rPr>
              <w:t>.</w:t>
            </w:r>
            <w:r w:rsidRPr="00465C72">
              <w:rPr>
                <w:rFonts w:asciiTheme="majorHAnsi" w:hAnsiTheme="majorHAnsi"/>
                <w:sz w:val="24"/>
                <w:szCs w:val="24"/>
                <w:lang w:val="sr-Cyrl-CS"/>
              </w:rPr>
              <w:t xml:space="preserve"> </w:t>
            </w:r>
          </w:p>
        </w:tc>
        <w:tc>
          <w:tcPr>
            <w:tcW w:w="1800" w:type="dxa"/>
          </w:tcPr>
          <w:p w:rsidR="00465C72" w:rsidRPr="004E6110" w:rsidRDefault="00465C72" w:rsidP="00844CAA">
            <w:pPr>
              <w:rPr>
                <w:rFonts w:asciiTheme="majorHAnsi" w:hAnsiTheme="majorHAnsi"/>
                <w:sz w:val="24"/>
                <w:szCs w:val="24"/>
                <w:lang w:val="sr-Cyrl-CS"/>
              </w:rPr>
            </w:pPr>
            <w:r w:rsidRPr="004E6110">
              <w:rPr>
                <w:rFonts w:asciiTheme="majorHAnsi" w:hAnsiTheme="majorHAnsi"/>
                <w:sz w:val="24"/>
                <w:szCs w:val="24"/>
                <w:lang w:val="sr-Cyrl-CS"/>
              </w:rPr>
              <w:t>Јед.цена без ПДВ-а</w:t>
            </w:r>
          </w:p>
        </w:tc>
        <w:tc>
          <w:tcPr>
            <w:tcW w:w="1440" w:type="dxa"/>
          </w:tcPr>
          <w:p w:rsidR="00465C72" w:rsidRPr="004E6110" w:rsidRDefault="00465C72" w:rsidP="00844CAA">
            <w:pPr>
              <w:rPr>
                <w:rFonts w:asciiTheme="majorHAnsi" w:hAnsiTheme="majorHAnsi"/>
                <w:sz w:val="24"/>
                <w:szCs w:val="24"/>
                <w:lang w:val="sr-Cyrl-CS"/>
              </w:rPr>
            </w:pPr>
            <w:r w:rsidRPr="004E6110">
              <w:rPr>
                <w:rFonts w:asciiTheme="majorHAnsi" w:hAnsiTheme="majorHAnsi"/>
                <w:sz w:val="24"/>
                <w:szCs w:val="24"/>
                <w:lang w:val="sr-Cyrl-CS"/>
              </w:rPr>
              <w:t>Јед.цена са ПДВ-ом</w:t>
            </w:r>
          </w:p>
        </w:tc>
        <w:tc>
          <w:tcPr>
            <w:tcW w:w="1710" w:type="dxa"/>
          </w:tcPr>
          <w:p w:rsidR="00465C72" w:rsidRPr="004E6110" w:rsidRDefault="00465C72" w:rsidP="00844CAA">
            <w:pPr>
              <w:rPr>
                <w:rFonts w:asciiTheme="majorHAnsi" w:hAnsiTheme="majorHAnsi"/>
                <w:sz w:val="24"/>
                <w:szCs w:val="24"/>
                <w:lang w:val="sr-Cyrl-CS"/>
              </w:rPr>
            </w:pPr>
            <w:r w:rsidRPr="004E6110">
              <w:rPr>
                <w:rFonts w:asciiTheme="majorHAnsi" w:hAnsiTheme="majorHAnsi"/>
                <w:sz w:val="24"/>
                <w:szCs w:val="24"/>
                <w:lang w:val="sr-Cyrl-CS"/>
              </w:rPr>
              <w:t xml:space="preserve">Укупна вредност без ПДВ-а </w:t>
            </w:r>
          </w:p>
        </w:tc>
        <w:tc>
          <w:tcPr>
            <w:tcW w:w="1800" w:type="dxa"/>
          </w:tcPr>
          <w:p w:rsidR="00465C72" w:rsidRPr="004E6110" w:rsidRDefault="00465C72" w:rsidP="00844CAA">
            <w:pPr>
              <w:rPr>
                <w:rFonts w:asciiTheme="majorHAnsi" w:hAnsiTheme="majorHAnsi"/>
                <w:sz w:val="24"/>
                <w:szCs w:val="24"/>
                <w:lang w:val="sr-Cyrl-CS"/>
              </w:rPr>
            </w:pPr>
            <w:r w:rsidRPr="004E6110">
              <w:rPr>
                <w:rFonts w:asciiTheme="majorHAnsi" w:hAnsiTheme="majorHAnsi"/>
                <w:sz w:val="24"/>
                <w:szCs w:val="24"/>
                <w:lang w:val="sr-Cyrl-CS"/>
              </w:rPr>
              <w:t>Укупна вредност са Пдв-ом</w:t>
            </w:r>
          </w:p>
        </w:tc>
      </w:tr>
      <w:tr w:rsidR="00D1515F" w:rsidTr="00132BE4">
        <w:tc>
          <w:tcPr>
            <w:tcW w:w="630" w:type="dxa"/>
          </w:tcPr>
          <w:p w:rsidR="00D1515F" w:rsidRPr="00D1515F" w:rsidRDefault="00D1515F" w:rsidP="00D1515F">
            <w:pPr>
              <w:jc w:val="center"/>
              <w:rPr>
                <w:rFonts w:asciiTheme="majorHAnsi" w:eastAsia="Times New Roman" w:hAnsiTheme="majorHAnsi"/>
                <w:sz w:val="24"/>
                <w:szCs w:val="24"/>
                <w:lang w:val="sr-Cyrl-CS"/>
              </w:rPr>
            </w:pPr>
            <w:r w:rsidRPr="00D1515F">
              <w:rPr>
                <w:rFonts w:asciiTheme="majorHAnsi" w:eastAsia="Times New Roman" w:hAnsiTheme="majorHAnsi"/>
                <w:sz w:val="24"/>
                <w:szCs w:val="24"/>
                <w:lang w:val="sr-Cyrl-CS"/>
              </w:rPr>
              <w:t>1</w:t>
            </w:r>
          </w:p>
        </w:tc>
        <w:tc>
          <w:tcPr>
            <w:tcW w:w="4821" w:type="dxa"/>
          </w:tcPr>
          <w:p w:rsidR="00D1515F" w:rsidRPr="00D1515F" w:rsidRDefault="00D1515F" w:rsidP="00D1515F">
            <w:pPr>
              <w:jc w:val="center"/>
              <w:rPr>
                <w:rFonts w:asciiTheme="majorHAnsi" w:eastAsia="Times New Roman" w:hAnsiTheme="majorHAnsi"/>
                <w:sz w:val="24"/>
                <w:szCs w:val="24"/>
                <w:lang w:val="sr-Cyrl-CS"/>
              </w:rPr>
            </w:pPr>
            <w:r w:rsidRPr="00D1515F">
              <w:rPr>
                <w:rFonts w:asciiTheme="majorHAnsi" w:eastAsia="Times New Roman" w:hAnsiTheme="majorHAnsi"/>
                <w:sz w:val="24"/>
                <w:szCs w:val="24"/>
                <w:lang w:val="sr-Cyrl-CS"/>
              </w:rPr>
              <w:t>2</w:t>
            </w:r>
          </w:p>
        </w:tc>
        <w:tc>
          <w:tcPr>
            <w:tcW w:w="759" w:type="dxa"/>
          </w:tcPr>
          <w:p w:rsidR="00D1515F" w:rsidRPr="00D1515F" w:rsidRDefault="00D1515F" w:rsidP="00D1515F">
            <w:pPr>
              <w:jc w:val="center"/>
              <w:rPr>
                <w:rFonts w:asciiTheme="majorHAnsi" w:eastAsia="Times New Roman" w:hAnsiTheme="majorHAnsi"/>
                <w:sz w:val="24"/>
                <w:szCs w:val="24"/>
                <w:lang w:val="sr-Cyrl-CS"/>
              </w:rPr>
            </w:pPr>
            <w:r w:rsidRPr="00D1515F">
              <w:rPr>
                <w:rFonts w:asciiTheme="majorHAnsi" w:eastAsia="Times New Roman" w:hAnsiTheme="majorHAnsi"/>
                <w:sz w:val="24"/>
                <w:szCs w:val="24"/>
                <w:lang w:val="sr-Cyrl-CS"/>
              </w:rPr>
              <w:t>3</w:t>
            </w:r>
          </w:p>
        </w:tc>
        <w:tc>
          <w:tcPr>
            <w:tcW w:w="810" w:type="dxa"/>
          </w:tcPr>
          <w:p w:rsidR="00D1515F" w:rsidRPr="00D1515F" w:rsidRDefault="00D1515F" w:rsidP="00D1515F">
            <w:pPr>
              <w:jc w:val="center"/>
              <w:rPr>
                <w:rFonts w:asciiTheme="majorHAnsi" w:hAnsiTheme="majorHAnsi"/>
                <w:sz w:val="24"/>
                <w:szCs w:val="24"/>
                <w:lang w:val="sr-Cyrl-CS"/>
              </w:rPr>
            </w:pPr>
            <w:r w:rsidRPr="00D1515F">
              <w:rPr>
                <w:rFonts w:asciiTheme="majorHAnsi" w:hAnsiTheme="majorHAnsi"/>
                <w:sz w:val="24"/>
                <w:szCs w:val="24"/>
                <w:lang w:val="sr-Cyrl-CS"/>
              </w:rPr>
              <w:t>4</w:t>
            </w:r>
          </w:p>
        </w:tc>
        <w:tc>
          <w:tcPr>
            <w:tcW w:w="1800" w:type="dxa"/>
          </w:tcPr>
          <w:p w:rsidR="00D1515F" w:rsidRPr="00D1515F" w:rsidRDefault="00D1515F" w:rsidP="00D1515F">
            <w:pPr>
              <w:jc w:val="center"/>
              <w:rPr>
                <w:rFonts w:asciiTheme="majorHAnsi" w:hAnsiTheme="majorHAnsi"/>
                <w:sz w:val="24"/>
                <w:szCs w:val="24"/>
                <w:lang w:val="sr-Cyrl-CS"/>
              </w:rPr>
            </w:pPr>
            <w:r w:rsidRPr="00D1515F">
              <w:rPr>
                <w:rFonts w:asciiTheme="majorHAnsi" w:hAnsiTheme="majorHAnsi"/>
                <w:sz w:val="24"/>
                <w:szCs w:val="24"/>
                <w:lang w:val="sr-Cyrl-CS"/>
              </w:rPr>
              <w:t>5</w:t>
            </w:r>
          </w:p>
        </w:tc>
        <w:tc>
          <w:tcPr>
            <w:tcW w:w="1440" w:type="dxa"/>
          </w:tcPr>
          <w:p w:rsidR="00D1515F" w:rsidRPr="00D1515F" w:rsidRDefault="00D1515F" w:rsidP="00D1515F">
            <w:pPr>
              <w:jc w:val="center"/>
              <w:rPr>
                <w:rFonts w:asciiTheme="majorHAnsi" w:hAnsiTheme="majorHAnsi"/>
                <w:sz w:val="24"/>
                <w:szCs w:val="24"/>
                <w:lang w:val="sr-Cyrl-CS"/>
              </w:rPr>
            </w:pPr>
            <w:r w:rsidRPr="00D1515F">
              <w:rPr>
                <w:rFonts w:asciiTheme="majorHAnsi" w:hAnsiTheme="majorHAnsi"/>
                <w:sz w:val="24"/>
                <w:szCs w:val="24"/>
                <w:lang w:val="sr-Cyrl-CS"/>
              </w:rPr>
              <w:t>6</w:t>
            </w:r>
          </w:p>
        </w:tc>
        <w:tc>
          <w:tcPr>
            <w:tcW w:w="1710" w:type="dxa"/>
          </w:tcPr>
          <w:p w:rsidR="00D1515F" w:rsidRPr="00D1515F" w:rsidRDefault="00D1515F" w:rsidP="00D1515F">
            <w:pPr>
              <w:jc w:val="center"/>
              <w:rPr>
                <w:rFonts w:asciiTheme="majorHAnsi" w:hAnsiTheme="majorHAnsi"/>
                <w:sz w:val="24"/>
                <w:szCs w:val="24"/>
              </w:rPr>
            </w:pPr>
            <w:r w:rsidRPr="00D1515F">
              <w:rPr>
                <w:rFonts w:asciiTheme="majorHAnsi" w:hAnsiTheme="majorHAnsi"/>
                <w:sz w:val="24"/>
                <w:szCs w:val="24"/>
                <w:lang w:val="sr-Cyrl-CS"/>
              </w:rPr>
              <w:t>7</w:t>
            </w:r>
            <w:r>
              <w:rPr>
                <w:rFonts w:asciiTheme="majorHAnsi" w:hAnsiTheme="majorHAnsi"/>
                <w:sz w:val="24"/>
                <w:szCs w:val="24"/>
              </w:rPr>
              <w:t>(4*5)</w:t>
            </w:r>
          </w:p>
        </w:tc>
        <w:tc>
          <w:tcPr>
            <w:tcW w:w="1800" w:type="dxa"/>
          </w:tcPr>
          <w:p w:rsidR="00D1515F" w:rsidRPr="00D1515F" w:rsidRDefault="00D1515F" w:rsidP="00D1515F">
            <w:pPr>
              <w:jc w:val="center"/>
              <w:rPr>
                <w:rFonts w:asciiTheme="majorHAnsi" w:hAnsiTheme="majorHAnsi"/>
                <w:sz w:val="24"/>
                <w:szCs w:val="24"/>
                <w:lang w:val="sr-Cyrl-CS"/>
              </w:rPr>
            </w:pPr>
            <w:r w:rsidRPr="00D1515F">
              <w:rPr>
                <w:rFonts w:asciiTheme="majorHAnsi" w:hAnsiTheme="majorHAnsi"/>
                <w:sz w:val="24"/>
                <w:szCs w:val="24"/>
                <w:lang w:val="sr-Cyrl-CS"/>
              </w:rPr>
              <w:t>8</w:t>
            </w:r>
            <w:r>
              <w:rPr>
                <w:rFonts w:asciiTheme="majorHAnsi" w:hAnsiTheme="majorHAnsi"/>
                <w:sz w:val="24"/>
                <w:szCs w:val="24"/>
                <w:lang w:val="sr-Cyrl-CS"/>
              </w:rPr>
              <w:t>(4*6)</w:t>
            </w:r>
          </w:p>
        </w:tc>
      </w:tr>
      <w:tr w:rsidR="00132BE4"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1.</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Демонтажа постојеће дотрајале ограде од металних цеви, три двокрилне капије дужине по 3m и једна једнокрилна капија од 1m, са вађењем бетонских стопа из земље. Отпадни материјал прикупити, утоварити на камион и одвести на депонију удаљену до 5km. Позиција обухвата и одлагање старе ограде и капија на локацију коју одреди инвеститор (утовар на камион и истовар). Обрачун по m</w:t>
            </w:r>
            <w:r w:rsidRPr="00820AAE">
              <w:rPr>
                <w:rFonts w:asciiTheme="majorHAnsi" w:hAnsiTheme="majorHAnsi" w:cs="Times New Roman"/>
                <w:vertAlign w:val="superscript"/>
              </w:rPr>
              <w:t>1</w:t>
            </w:r>
            <w:r w:rsidRPr="00820AAE">
              <w:rPr>
                <w:rFonts w:asciiTheme="majorHAnsi" w:hAnsiTheme="majorHAnsi" w:cs="Times New Roman"/>
              </w:rPr>
              <w:t xml:space="preserve"> демонт</w:t>
            </w:r>
            <w:r>
              <w:rPr>
                <w:rFonts w:asciiTheme="majorHAnsi" w:hAnsiTheme="majorHAnsi" w:cs="Times New Roman"/>
              </w:rPr>
              <w:t>и</w:t>
            </w:r>
            <w:r w:rsidRPr="00820AAE">
              <w:rPr>
                <w:rFonts w:asciiTheme="majorHAnsi" w:hAnsiTheme="majorHAnsi" w:cs="Times New Roman"/>
              </w:rPr>
              <w:t>раних ограда и капија.</w:t>
            </w:r>
          </w:p>
        </w:tc>
        <w:tc>
          <w:tcPr>
            <w:tcW w:w="759" w:type="dxa"/>
          </w:tcPr>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Pr="00132BE4" w:rsidRDefault="00132BE4" w:rsidP="00132BE4">
            <w:pPr>
              <w:jc w:val="both"/>
              <w:rPr>
                <w:rFonts w:asciiTheme="majorHAnsi" w:eastAsia="Times New Roman" w:hAnsiTheme="majorHAnsi"/>
                <w:sz w:val="24"/>
                <w:szCs w:val="24"/>
              </w:rPr>
            </w:pPr>
            <w:r>
              <w:rPr>
                <w:rFonts w:asciiTheme="majorHAnsi" w:eastAsia="Times New Roman" w:hAnsiTheme="majorHAnsi"/>
                <w:sz w:val="24"/>
                <w:szCs w:val="24"/>
              </w:rPr>
              <w:t>mˡ</w:t>
            </w:r>
          </w:p>
          <w:p w:rsidR="00132BE4" w:rsidRPr="00D1515F" w:rsidRDefault="00132BE4" w:rsidP="00132BE4">
            <w:pPr>
              <w:jc w:val="both"/>
              <w:rPr>
                <w:rFonts w:asciiTheme="majorHAnsi" w:eastAsia="Times New Roman" w:hAnsiTheme="majorHAnsi"/>
                <w:sz w:val="24"/>
                <w:szCs w:val="24"/>
                <w:lang w:val="sr-Cyrl-CS"/>
              </w:rPr>
            </w:pPr>
          </w:p>
        </w:tc>
        <w:tc>
          <w:tcPr>
            <w:tcW w:w="810" w:type="dxa"/>
          </w:tcPr>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Pr="00132BE4" w:rsidRDefault="00132BE4" w:rsidP="00132BE4">
            <w:pPr>
              <w:jc w:val="both"/>
              <w:rPr>
                <w:rFonts w:asciiTheme="majorHAnsi" w:hAnsiTheme="majorHAnsi"/>
                <w:sz w:val="24"/>
                <w:szCs w:val="24"/>
              </w:rPr>
            </w:pPr>
            <w:r>
              <w:rPr>
                <w:rFonts w:asciiTheme="majorHAnsi" w:hAnsiTheme="majorHAnsi"/>
                <w:sz w:val="24"/>
                <w:szCs w:val="24"/>
              </w:rPr>
              <w:t>160</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2.</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Ручни ископ земље за израду стопа за стубове нове ограде. Димензије ископа су 40x40cm у основи и дубине 60cm. Ископ се врши за 56 стубова. Ископану земљу привремено депоновати на локацији за потребно насипањa око бетонских стопа или затрпавања након уклањања извађених бетонских стопа. Вишак земље прикупити, утоварити на камион и одвести на удаљену до 5km. Обрачун по m</w:t>
            </w:r>
            <w:r w:rsidRPr="00820AAE">
              <w:rPr>
                <w:rFonts w:asciiTheme="majorHAnsi" w:hAnsiTheme="majorHAnsi" w:cs="Times New Roman"/>
                <w:vertAlign w:val="superscript"/>
              </w:rPr>
              <w:t>3</w:t>
            </w:r>
          </w:p>
        </w:tc>
        <w:tc>
          <w:tcPr>
            <w:tcW w:w="759" w:type="dxa"/>
          </w:tcPr>
          <w:p w:rsidR="00132BE4" w:rsidRDefault="00132BE4" w:rsidP="00132BE4">
            <w:pPr>
              <w:jc w:val="both"/>
              <w:rPr>
                <w:rFonts w:asciiTheme="majorHAnsi" w:eastAsia="Times New Roman" w:hAnsiTheme="majorHAnsi"/>
                <w:sz w:val="24"/>
                <w:szCs w:val="24"/>
                <w:lang w:val="sr-Cyrl-CS"/>
              </w:rPr>
            </w:pPr>
          </w:p>
          <w:p w:rsidR="00132BE4" w:rsidRPr="00D1515F" w:rsidRDefault="00132BE4" w:rsidP="00132BE4">
            <w:pPr>
              <w:jc w:val="both"/>
              <w:rPr>
                <w:rFonts w:asciiTheme="majorHAnsi" w:eastAsia="Times New Roman" w:hAnsiTheme="majorHAnsi"/>
                <w:sz w:val="24"/>
                <w:szCs w:val="24"/>
                <w:lang w:val="sr-Cyrl-CS"/>
              </w:rPr>
            </w:pPr>
            <w:r>
              <w:rPr>
                <w:rFonts w:asciiTheme="majorHAnsi" w:eastAsia="Times New Roman" w:hAnsiTheme="majorHAnsi"/>
                <w:sz w:val="24"/>
                <w:szCs w:val="24"/>
              </w:rPr>
              <w:t>m³</w:t>
            </w:r>
          </w:p>
        </w:tc>
        <w:tc>
          <w:tcPr>
            <w:tcW w:w="810" w:type="dxa"/>
          </w:tcPr>
          <w:p w:rsidR="00132BE4" w:rsidRPr="00132BE4" w:rsidRDefault="00132BE4" w:rsidP="00132BE4">
            <w:pPr>
              <w:jc w:val="both"/>
              <w:rPr>
                <w:rFonts w:asciiTheme="majorHAnsi" w:hAnsiTheme="majorHAnsi"/>
                <w:sz w:val="24"/>
                <w:szCs w:val="24"/>
              </w:rPr>
            </w:pPr>
            <w:r>
              <w:rPr>
                <w:rFonts w:asciiTheme="majorHAnsi" w:hAnsiTheme="majorHAnsi"/>
                <w:sz w:val="24"/>
                <w:szCs w:val="24"/>
              </w:rPr>
              <w:t>5,4</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3.</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Набавка материјала и израда тампон слоја дебљине d=5cm, испод темеља ограде са потребним набијањем. Обрачун по m</w:t>
            </w:r>
            <w:r w:rsidRPr="00820AAE">
              <w:rPr>
                <w:rFonts w:asciiTheme="majorHAnsi" w:hAnsiTheme="majorHAnsi" w:cs="Times New Roman"/>
                <w:vertAlign w:val="superscript"/>
              </w:rPr>
              <w:t>3</w:t>
            </w:r>
            <w:r w:rsidRPr="00820AAE">
              <w:rPr>
                <w:rFonts w:asciiTheme="majorHAnsi" w:hAnsiTheme="majorHAnsi" w:cs="Times New Roman"/>
              </w:rPr>
              <w:t xml:space="preserve"> уграђеног шљунка у збијеном стању.</w:t>
            </w:r>
          </w:p>
        </w:tc>
        <w:tc>
          <w:tcPr>
            <w:tcW w:w="759" w:type="dxa"/>
          </w:tcPr>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lang w:val="sr-Cyrl-CS"/>
              </w:rPr>
            </w:pPr>
            <w:r>
              <w:rPr>
                <w:rFonts w:asciiTheme="majorHAnsi" w:eastAsia="Times New Roman" w:hAnsiTheme="majorHAnsi"/>
                <w:sz w:val="24"/>
                <w:szCs w:val="24"/>
              </w:rPr>
              <w:t>m³</w:t>
            </w:r>
          </w:p>
          <w:p w:rsidR="00132BE4" w:rsidRPr="00132BE4" w:rsidRDefault="00132BE4" w:rsidP="00132BE4">
            <w:pPr>
              <w:jc w:val="both"/>
              <w:rPr>
                <w:rFonts w:asciiTheme="majorHAnsi" w:eastAsia="Times New Roman" w:hAnsiTheme="majorHAnsi"/>
                <w:sz w:val="24"/>
                <w:szCs w:val="24"/>
              </w:rPr>
            </w:pPr>
          </w:p>
        </w:tc>
        <w:tc>
          <w:tcPr>
            <w:tcW w:w="810" w:type="dxa"/>
          </w:tcPr>
          <w:p w:rsidR="00132BE4" w:rsidRDefault="00132BE4" w:rsidP="00132BE4">
            <w:pPr>
              <w:jc w:val="both"/>
              <w:rPr>
                <w:rFonts w:asciiTheme="majorHAnsi" w:hAnsiTheme="majorHAnsi"/>
                <w:sz w:val="24"/>
                <w:szCs w:val="24"/>
              </w:rPr>
            </w:pPr>
          </w:p>
          <w:p w:rsidR="00132BE4" w:rsidRPr="00132BE4" w:rsidRDefault="00132BE4" w:rsidP="00132BE4">
            <w:pPr>
              <w:jc w:val="both"/>
              <w:rPr>
                <w:rFonts w:asciiTheme="majorHAnsi" w:hAnsiTheme="majorHAnsi"/>
                <w:sz w:val="24"/>
                <w:szCs w:val="24"/>
              </w:rPr>
            </w:pPr>
            <w:r>
              <w:rPr>
                <w:rFonts w:asciiTheme="majorHAnsi" w:hAnsiTheme="majorHAnsi"/>
                <w:sz w:val="24"/>
                <w:szCs w:val="24"/>
              </w:rPr>
              <w:t>0,7</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4.</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Набавка материјала и израда армирано бетонске стопе ограде бетоном марке МБ25, попречног пресека 40x40cm армиранe са  </w:t>
            </w:r>
            <w:r w:rsidRPr="00820AAE">
              <w:rPr>
                <w:rFonts w:asciiTheme="majorHAnsi" w:hAnsiTheme="majorHAnsi" w:cs="Times New Roman"/>
              </w:rPr>
              <w:lastRenderedPageBreak/>
              <w:t>мрежастом арамтуром Q188. Темеље у горњој зони извести са потребним надвишењем изнад земље 25x25x5cm, за анкер плочу. Позиција обухвата и набавку, израду и постављање анкер плоче димензија 150x150x8mm. Обрачун по m</w:t>
            </w:r>
            <w:r w:rsidRPr="00820AAE">
              <w:rPr>
                <w:rFonts w:asciiTheme="majorHAnsi" w:hAnsiTheme="majorHAnsi" w:cs="Times New Roman"/>
                <w:vertAlign w:val="superscript"/>
              </w:rPr>
              <w:t xml:space="preserve">3 </w:t>
            </w:r>
            <w:r w:rsidRPr="00820AAE">
              <w:rPr>
                <w:rFonts w:asciiTheme="majorHAnsi" w:hAnsiTheme="majorHAnsi" w:cs="Times New Roman"/>
              </w:rPr>
              <w:t>бетона са потребном армтуром, оплатом и анкер плочама.</w:t>
            </w:r>
          </w:p>
        </w:tc>
        <w:tc>
          <w:tcPr>
            <w:tcW w:w="759" w:type="dxa"/>
          </w:tcPr>
          <w:p w:rsidR="00132BE4" w:rsidRDefault="00132BE4" w:rsidP="00132BE4">
            <w:pPr>
              <w:jc w:val="both"/>
              <w:rPr>
                <w:rFonts w:asciiTheme="majorHAnsi" w:eastAsia="Times New Roman" w:hAnsiTheme="majorHAnsi"/>
                <w:sz w:val="24"/>
                <w:szCs w:val="24"/>
                <w:lang w:val="sr-Cyrl-CS"/>
              </w:rPr>
            </w:pPr>
          </w:p>
          <w:p w:rsidR="00132BE4" w:rsidRPr="00D1515F" w:rsidRDefault="00132BE4" w:rsidP="00132BE4">
            <w:pPr>
              <w:jc w:val="both"/>
              <w:rPr>
                <w:rFonts w:asciiTheme="majorHAnsi" w:eastAsia="Times New Roman" w:hAnsiTheme="majorHAnsi"/>
                <w:sz w:val="24"/>
                <w:szCs w:val="24"/>
                <w:lang w:val="sr-Cyrl-CS"/>
              </w:rPr>
            </w:pPr>
            <w:r>
              <w:rPr>
                <w:rFonts w:asciiTheme="majorHAnsi" w:eastAsia="Times New Roman" w:hAnsiTheme="majorHAnsi"/>
                <w:sz w:val="24"/>
                <w:szCs w:val="24"/>
              </w:rPr>
              <w:t>m³</w:t>
            </w:r>
          </w:p>
        </w:tc>
        <w:tc>
          <w:tcPr>
            <w:tcW w:w="810" w:type="dxa"/>
          </w:tcPr>
          <w:p w:rsidR="00132BE4" w:rsidRDefault="00132BE4" w:rsidP="00132BE4">
            <w:pPr>
              <w:jc w:val="both"/>
              <w:rPr>
                <w:rFonts w:asciiTheme="majorHAnsi" w:hAnsiTheme="majorHAnsi"/>
                <w:sz w:val="24"/>
                <w:szCs w:val="24"/>
              </w:rPr>
            </w:pPr>
          </w:p>
          <w:p w:rsidR="00132BE4" w:rsidRPr="00132BE4" w:rsidRDefault="00132BE4" w:rsidP="00132BE4">
            <w:pPr>
              <w:jc w:val="both"/>
              <w:rPr>
                <w:rFonts w:asciiTheme="majorHAnsi" w:hAnsiTheme="majorHAnsi"/>
                <w:sz w:val="24"/>
                <w:szCs w:val="24"/>
              </w:rPr>
            </w:pPr>
            <w:r>
              <w:rPr>
                <w:rFonts w:asciiTheme="majorHAnsi" w:hAnsiTheme="majorHAnsi"/>
                <w:sz w:val="24"/>
                <w:szCs w:val="24"/>
              </w:rPr>
              <w:t>5,4</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RPr="004E6110"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lastRenderedPageBreak/>
              <w:t>5.</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Набавка материјала израда и монтажа ограде и капија. Позиција обухвата следеће радове: </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Монтажа стубова кутијастих профила 40x40x4x2000mm, ширина поља је 3m осовински; </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Израда и монтажа платна (поља) ограде чији је рам од кутијастих профила 30x30x2,5mm а испуна 18x18x2mm, размак цеви испуне по узору на постојећи; </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Израда три двокрилне капије и једне једнокрилне са рамовима 30x30x2,5mm а испуна 18x18x2mm, на позицијама постојећих капија, облика усклађеног са пољима ограде; </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Постављање кутијастих цеви 18x18x300mm на горњу кутију рама поља, управно, узвишено под углом од 25</w:t>
            </w:r>
            <w:r w:rsidRPr="00820AAE">
              <w:rPr>
                <w:rFonts w:asciiTheme="majorHAnsi" w:hAnsiTheme="majorHAnsi" w:cs="Calibri"/>
              </w:rPr>
              <w:t>⁰</w:t>
            </w:r>
            <w:r w:rsidRPr="00820AAE">
              <w:rPr>
                <w:rFonts w:asciiTheme="majorHAnsi" w:hAnsiTheme="majorHAnsi" w:cs="Times New Roman"/>
              </w:rPr>
              <w:t>, као заштита од прескакања.</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Позиција обухвата набавку шарки за капије, механизме за затварање и закључавање (ригле, браве и сл.). Све крајеве цеви које су отворене затворити заваривањем лима дебљине 2mm.</w:t>
            </w:r>
          </w:p>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Обрачин по m</w:t>
            </w:r>
            <w:r w:rsidRPr="00820AAE">
              <w:rPr>
                <w:rFonts w:asciiTheme="majorHAnsi" w:hAnsiTheme="majorHAnsi" w:cs="Times New Roman"/>
                <w:vertAlign w:val="superscript"/>
              </w:rPr>
              <w:t xml:space="preserve">1 </w:t>
            </w:r>
            <w:r w:rsidRPr="00820AAE">
              <w:rPr>
                <w:rFonts w:asciiTheme="majorHAnsi" w:hAnsiTheme="majorHAnsi" w:cs="Times New Roman"/>
              </w:rPr>
              <w:t xml:space="preserve">израђене ограде са капијама </w:t>
            </w:r>
          </w:p>
        </w:tc>
        <w:tc>
          <w:tcPr>
            <w:tcW w:w="759" w:type="dxa"/>
          </w:tcPr>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Pr="00132BE4" w:rsidRDefault="00132BE4" w:rsidP="00132BE4">
            <w:pPr>
              <w:jc w:val="both"/>
              <w:rPr>
                <w:rFonts w:asciiTheme="majorHAnsi" w:eastAsia="Times New Roman" w:hAnsiTheme="majorHAnsi"/>
                <w:sz w:val="24"/>
                <w:szCs w:val="24"/>
              </w:rPr>
            </w:pPr>
            <w:r>
              <w:rPr>
                <w:rFonts w:asciiTheme="majorHAnsi" w:eastAsia="Times New Roman" w:hAnsiTheme="majorHAnsi"/>
                <w:sz w:val="24"/>
                <w:szCs w:val="24"/>
              </w:rPr>
              <w:t>mˡ</w:t>
            </w:r>
          </w:p>
        </w:tc>
        <w:tc>
          <w:tcPr>
            <w:tcW w:w="810" w:type="dxa"/>
          </w:tcPr>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Pr="00002844" w:rsidRDefault="00132BE4" w:rsidP="00132BE4">
            <w:pPr>
              <w:jc w:val="both"/>
              <w:rPr>
                <w:rFonts w:asciiTheme="majorHAnsi" w:hAnsiTheme="majorHAnsi"/>
                <w:sz w:val="24"/>
                <w:szCs w:val="24"/>
              </w:rPr>
            </w:pPr>
            <w:r>
              <w:rPr>
                <w:rFonts w:asciiTheme="majorHAnsi" w:hAnsiTheme="majorHAnsi"/>
                <w:sz w:val="24"/>
                <w:szCs w:val="24"/>
              </w:rPr>
              <w:t>160</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Tr="00132BE4">
        <w:tc>
          <w:tcPr>
            <w:tcW w:w="630" w:type="dxa"/>
            <w:vAlign w:val="center"/>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6.</w:t>
            </w:r>
          </w:p>
        </w:tc>
        <w:tc>
          <w:tcPr>
            <w:tcW w:w="4821" w:type="dxa"/>
          </w:tcPr>
          <w:p w:rsidR="00132BE4" w:rsidRPr="00820AAE" w:rsidRDefault="00132BE4" w:rsidP="00132BE4">
            <w:pPr>
              <w:jc w:val="both"/>
              <w:rPr>
                <w:rFonts w:asciiTheme="majorHAnsi" w:hAnsiTheme="majorHAnsi" w:cs="Times New Roman"/>
              </w:rPr>
            </w:pPr>
            <w:r w:rsidRPr="00820AAE">
              <w:rPr>
                <w:rFonts w:asciiTheme="majorHAnsi" w:hAnsiTheme="majorHAnsi" w:cs="Times New Roman"/>
              </w:rPr>
              <w:t xml:space="preserve">Набавка материјала и бојење комплетне ограде, капија и анкер плоча, бојом 3у1 (антикорозивна, темељна и завршна боја за метал) у нијaнсама коју одреди Предшколска установа „Полетрац” Оџаци. Пре бојења </w:t>
            </w:r>
            <w:r w:rsidRPr="00820AAE">
              <w:rPr>
                <w:rFonts w:asciiTheme="majorHAnsi" w:hAnsiTheme="majorHAnsi" w:cs="Times New Roman"/>
              </w:rPr>
              <w:lastRenderedPageBreak/>
              <w:t>заварене везе очистити од шљаке и избрусити а оштре ивице заоблити. Обрачун по m</w:t>
            </w:r>
            <w:r w:rsidRPr="00820AAE">
              <w:rPr>
                <w:rFonts w:asciiTheme="majorHAnsi" w:hAnsiTheme="majorHAnsi" w:cs="Times New Roman"/>
                <w:vertAlign w:val="superscript"/>
              </w:rPr>
              <w:t>2</w:t>
            </w:r>
            <w:r w:rsidRPr="00820AAE">
              <w:rPr>
                <w:rFonts w:asciiTheme="majorHAnsi" w:hAnsiTheme="majorHAnsi" w:cs="Times New Roman"/>
              </w:rPr>
              <w:t xml:space="preserve"> комплетне ограде и капија обострано</w:t>
            </w:r>
          </w:p>
          <w:p w:rsidR="00132BE4" w:rsidRPr="00820AAE" w:rsidRDefault="00132BE4" w:rsidP="00132BE4">
            <w:pPr>
              <w:jc w:val="both"/>
              <w:rPr>
                <w:rFonts w:asciiTheme="majorHAnsi" w:hAnsiTheme="majorHAnsi" w:cs="Times New Roman"/>
                <w:vertAlign w:val="superscript"/>
              </w:rPr>
            </w:pPr>
            <w:r w:rsidRPr="00820AAE">
              <w:rPr>
                <w:rFonts w:asciiTheme="majorHAnsi" w:hAnsiTheme="majorHAnsi" w:cs="Times New Roman"/>
              </w:rPr>
              <w:t>1,7m x 160m = 272m</w:t>
            </w:r>
            <w:r w:rsidRPr="00820AAE">
              <w:rPr>
                <w:rFonts w:asciiTheme="majorHAnsi" w:hAnsiTheme="majorHAnsi" w:cs="Times New Roman"/>
                <w:vertAlign w:val="superscript"/>
              </w:rPr>
              <w:t>2</w:t>
            </w:r>
          </w:p>
        </w:tc>
        <w:tc>
          <w:tcPr>
            <w:tcW w:w="759" w:type="dxa"/>
          </w:tcPr>
          <w:p w:rsidR="00132BE4" w:rsidRDefault="00132BE4" w:rsidP="00132BE4">
            <w:pPr>
              <w:jc w:val="both"/>
              <w:rPr>
                <w:rFonts w:asciiTheme="majorHAnsi" w:eastAsia="Times New Roman" w:hAnsiTheme="majorHAnsi"/>
                <w:sz w:val="24"/>
                <w:szCs w:val="24"/>
              </w:rPr>
            </w:pPr>
          </w:p>
          <w:p w:rsidR="00132BE4" w:rsidRDefault="00132BE4" w:rsidP="00132BE4">
            <w:pPr>
              <w:jc w:val="both"/>
              <w:rPr>
                <w:rFonts w:asciiTheme="majorHAnsi" w:eastAsia="Times New Roman" w:hAnsiTheme="majorHAnsi"/>
                <w:sz w:val="24"/>
                <w:szCs w:val="24"/>
              </w:rPr>
            </w:pPr>
          </w:p>
          <w:p w:rsidR="00132BE4" w:rsidRPr="00132BE4" w:rsidRDefault="00132BE4" w:rsidP="00132BE4">
            <w:pPr>
              <w:jc w:val="both"/>
              <w:rPr>
                <w:rFonts w:asciiTheme="majorHAnsi" w:eastAsia="Times New Roman" w:hAnsiTheme="majorHAnsi"/>
                <w:sz w:val="24"/>
                <w:szCs w:val="24"/>
              </w:rPr>
            </w:pPr>
            <w:r>
              <w:rPr>
                <w:rFonts w:asciiTheme="majorHAnsi" w:eastAsia="Times New Roman" w:hAnsiTheme="majorHAnsi"/>
                <w:sz w:val="24"/>
                <w:szCs w:val="24"/>
              </w:rPr>
              <w:t>m²</w:t>
            </w:r>
          </w:p>
          <w:p w:rsidR="00132BE4" w:rsidRPr="00D1515F" w:rsidRDefault="00132BE4" w:rsidP="00132BE4">
            <w:pPr>
              <w:jc w:val="both"/>
              <w:rPr>
                <w:rFonts w:asciiTheme="majorHAnsi" w:eastAsia="Times New Roman" w:hAnsiTheme="majorHAnsi"/>
                <w:sz w:val="24"/>
                <w:szCs w:val="24"/>
                <w:lang w:val="sr-Cyrl-CS"/>
              </w:rPr>
            </w:pPr>
          </w:p>
        </w:tc>
        <w:tc>
          <w:tcPr>
            <w:tcW w:w="810" w:type="dxa"/>
          </w:tcPr>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Default="00132BE4" w:rsidP="00132BE4">
            <w:pPr>
              <w:jc w:val="both"/>
              <w:rPr>
                <w:rFonts w:asciiTheme="majorHAnsi" w:hAnsiTheme="majorHAnsi"/>
                <w:sz w:val="24"/>
                <w:szCs w:val="24"/>
              </w:rPr>
            </w:pPr>
          </w:p>
          <w:p w:rsidR="00132BE4" w:rsidRPr="007B78AD" w:rsidRDefault="00132BE4" w:rsidP="00132BE4">
            <w:pPr>
              <w:jc w:val="both"/>
              <w:rPr>
                <w:rFonts w:asciiTheme="majorHAnsi" w:hAnsiTheme="majorHAnsi"/>
                <w:sz w:val="24"/>
                <w:szCs w:val="24"/>
              </w:rPr>
            </w:pPr>
            <w:r>
              <w:rPr>
                <w:rFonts w:asciiTheme="majorHAnsi" w:hAnsiTheme="majorHAnsi"/>
                <w:sz w:val="24"/>
                <w:szCs w:val="24"/>
              </w:rPr>
              <w:t>272</w:t>
            </w:r>
          </w:p>
        </w:tc>
        <w:tc>
          <w:tcPr>
            <w:tcW w:w="1800" w:type="dxa"/>
          </w:tcPr>
          <w:p w:rsidR="00132BE4" w:rsidRPr="00D1515F" w:rsidRDefault="00132BE4" w:rsidP="00132BE4">
            <w:pPr>
              <w:jc w:val="both"/>
              <w:rPr>
                <w:rFonts w:asciiTheme="majorHAnsi" w:hAnsiTheme="majorHAnsi"/>
                <w:sz w:val="24"/>
                <w:szCs w:val="24"/>
                <w:lang w:val="sr-Cyrl-CS"/>
              </w:rPr>
            </w:pPr>
          </w:p>
        </w:tc>
        <w:tc>
          <w:tcPr>
            <w:tcW w:w="1440" w:type="dxa"/>
          </w:tcPr>
          <w:p w:rsidR="00132BE4" w:rsidRPr="00D1515F" w:rsidRDefault="00132BE4" w:rsidP="00132BE4">
            <w:pPr>
              <w:jc w:val="both"/>
              <w:rPr>
                <w:rFonts w:asciiTheme="majorHAnsi" w:hAnsiTheme="majorHAnsi"/>
                <w:sz w:val="24"/>
                <w:szCs w:val="24"/>
                <w:lang w:val="sr-Cyrl-CS"/>
              </w:rPr>
            </w:pP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r w:rsidR="00132BE4" w:rsidTr="00C60E76">
        <w:tc>
          <w:tcPr>
            <w:tcW w:w="10260" w:type="dxa"/>
            <w:gridSpan w:val="6"/>
            <w:vAlign w:val="center"/>
          </w:tcPr>
          <w:p w:rsidR="00132BE4" w:rsidRDefault="00132BE4" w:rsidP="00132BE4">
            <w:pPr>
              <w:jc w:val="both"/>
              <w:rPr>
                <w:rFonts w:asciiTheme="majorHAnsi" w:hAnsiTheme="majorHAnsi"/>
                <w:sz w:val="24"/>
                <w:szCs w:val="24"/>
                <w:lang w:val="sr-Cyrl-CS"/>
              </w:rPr>
            </w:pPr>
          </w:p>
          <w:p w:rsidR="00132BE4" w:rsidRPr="00D1515F" w:rsidRDefault="00132BE4" w:rsidP="00132BE4">
            <w:pPr>
              <w:jc w:val="center"/>
              <w:rPr>
                <w:rFonts w:asciiTheme="majorHAnsi" w:hAnsiTheme="majorHAnsi"/>
                <w:sz w:val="24"/>
                <w:szCs w:val="24"/>
                <w:lang w:val="sr-Cyrl-CS"/>
              </w:rPr>
            </w:pPr>
            <w:r>
              <w:rPr>
                <w:rFonts w:asciiTheme="majorHAnsi" w:hAnsiTheme="majorHAnsi"/>
                <w:sz w:val="24"/>
                <w:szCs w:val="24"/>
                <w:lang w:val="sr-Cyrl-CS"/>
              </w:rPr>
              <w:t>УКУПНО</w:t>
            </w:r>
          </w:p>
        </w:tc>
        <w:tc>
          <w:tcPr>
            <w:tcW w:w="1710" w:type="dxa"/>
          </w:tcPr>
          <w:p w:rsidR="00132BE4" w:rsidRPr="00D1515F" w:rsidRDefault="00132BE4" w:rsidP="00132BE4">
            <w:pPr>
              <w:jc w:val="both"/>
              <w:rPr>
                <w:rFonts w:asciiTheme="majorHAnsi" w:hAnsiTheme="majorHAnsi"/>
                <w:sz w:val="24"/>
                <w:szCs w:val="24"/>
                <w:lang w:val="sr-Cyrl-CS"/>
              </w:rPr>
            </w:pPr>
          </w:p>
        </w:tc>
        <w:tc>
          <w:tcPr>
            <w:tcW w:w="1800" w:type="dxa"/>
          </w:tcPr>
          <w:p w:rsidR="00132BE4" w:rsidRPr="00D1515F" w:rsidRDefault="00132BE4" w:rsidP="00D1515F">
            <w:pPr>
              <w:jc w:val="center"/>
              <w:rPr>
                <w:rFonts w:asciiTheme="majorHAnsi" w:hAnsiTheme="majorHAnsi"/>
                <w:sz w:val="24"/>
                <w:szCs w:val="24"/>
                <w:lang w:val="sr-Cyrl-CS"/>
              </w:rPr>
            </w:pPr>
          </w:p>
        </w:tc>
      </w:tr>
    </w:tbl>
    <w:p w:rsidR="004E6110" w:rsidRPr="004E6110" w:rsidRDefault="004E6110" w:rsidP="004E6110">
      <w:pPr>
        <w:spacing w:after="0" w:line="234" w:lineRule="auto"/>
        <w:ind w:left="400" w:hanging="419"/>
        <w:jc w:val="both"/>
        <w:rPr>
          <w:rFonts w:ascii="Cambria" w:eastAsia="Times New Roman" w:hAnsi="Cambria"/>
          <w:b/>
          <w:sz w:val="24"/>
          <w:szCs w:val="24"/>
          <w:lang w:val="sr-Cyrl-CS"/>
        </w:rPr>
      </w:pPr>
      <w:r w:rsidRPr="004E6110">
        <w:rPr>
          <w:rFonts w:ascii="Cambria" w:eastAsia="Times New Roman" w:hAnsi="Cambria"/>
          <w:b/>
          <w:sz w:val="24"/>
          <w:szCs w:val="24"/>
          <w:lang w:val="sr-Cyrl-CS"/>
        </w:rPr>
        <w:t xml:space="preserve">УПУТСТВО ЗА ПОПУЊАВАЊЕ ОБРАСЦА СТРУКТУРЕ ПОНУЂЕНЕ ЦЕНЕ </w:t>
      </w:r>
    </w:p>
    <w:p w:rsidR="004E6110" w:rsidRPr="004E6110" w:rsidRDefault="004E6110" w:rsidP="004E6110">
      <w:pPr>
        <w:spacing w:after="0" w:line="273" w:lineRule="exact"/>
        <w:jc w:val="both"/>
        <w:rPr>
          <w:rFonts w:ascii="Cambria" w:eastAsia="Times New Roman" w:hAnsi="Cambria"/>
          <w:sz w:val="24"/>
          <w:szCs w:val="24"/>
          <w:lang w:val="sr-Cyrl-CS"/>
        </w:rPr>
      </w:pPr>
    </w:p>
    <w:p w:rsidR="004E6110" w:rsidRPr="004E6110" w:rsidRDefault="004E6110" w:rsidP="004E6110">
      <w:pPr>
        <w:spacing w:after="0" w:line="234" w:lineRule="auto"/>
        <w:ind w:left="400" w:hanging="419"/>
        <w:jc w:val="both"/>
        <w:rPr>
          <w:rFonts w:ascii="Cambria" w:eastAsia="Times New Roman" w:hAnsi="Cambria"/>
          <w:sz w:val="24"/>
          <w:szCs w:val="24"/>
          <w:lang w:val="sr-Cyrl-CS"/>
        </w:rPr>
      </w:pPr>
      <w:r w:rsidRPr="004E6110">
        <w:rPr>
          <w:rFonts w:ascii="Cambria" w:eastAsia="Times New Roman" w:hAnsi="Cambria"/>
          <w:sz w:val="24"/>
          <w:szCs w:val="24"/>
          <w:lang w:val="sr-Cyrl-CS"/>
        </w:rPr>
        <w:t>Понуђач треба да попуни образац структуре цене на следећи начин:</w:t>
      </w:r>
    </w:p>
    <w:p w:rsidR="004E6110" w:rsidRDefault="004E6110" w:rsidP="004E6110">
      <w:pPr>
        <w:pStyle w:val="ListParagraph"/>
        <w:numPr>
          <w:ilvl w:val="0"/>
          <w:numId w:val="3"/>
        </w:numPr>
        <w:spacing w:line="234" w:lineRule="auto"/>
        <w:jc w:val="both"/>
        <w:rPr>
          <w:rFonts w:ascii="Cambria" w:hAnsi="Cambria"/>
          <w:szCs w:val="24"/>
          <w:lang w:val="sr-Cyrl-CS"/>
        </w:rPr>
      </w:pPr>
      <w:r w:rsidRPr="004E6110">
        <w:rPr>
          <w:rFonts w:ascii="Cambria" w:hAnsi="Cambria"/>
          <w:szCs w:val="24"/>
          <w:lang w:val="sr-Cyrl-CS"/>
        </w:rPr>
        <w:t>у колони 5. уписати колико износи јединична цена, за сваки тражени предмет јавне набавке</w:t>
      </w:r>
      <w:r>
        <w:rPr>
          <w:rFonts w:ascii="Cambria" w:hAnsi="Cambria"/>
          <w:szCs w:val="24"/>
          <w:lang w:val="sr-Cyrl-CS"/>
        </w:rPr>
        <w:t xml:space="preserve"> без ПДВ-а</w:t>
      </w:r>
      <w:r w:rsidRPr="004E6110">
        <w:rPr>
          <w:rFonts w:ascii="Cambria" w:hAnsi="Cambria"/>
          <w:szCs w:val="24"/>
          <w:lang w:val="sr-Cyrl-CS"/>
        </w:rPr>
        <w:t>;</w:t>
      </w:r>
    </w:p>
    <w:p w:rsidR="004E6110" w:rsidRDefault="004E6110" w:rsidP="004E6110">
      <w:pPr>
        <w:pStyle w:val="ListParagraph"/>
        <w:numPr>
          <w:ilvl w:val="0"/>
          <w:numId w:val="3"/>
        </w:numPr>
        <w:spacing w:line="234" w:lineRule="auto"/>
        <w:jc w:val="both"/>
        <w:rPr>
          <w:rFonts w:ascii="Cambria" w:hAnsi="Cambria"/>
          <w:szCs w:val="24"/>
          <w:lang w:val="sr-Cyrl-CS"/>
        </w:rPr>
      </w:pPr>
      <w:r w:rsidRPr="004E6110">
        <w:rPr>
          <w:rFonts w:ascii="Cambria" w:hAnsi="Cambria"/>
          <w:szCs w:val="24"/>
          <w:lang w:val="sr-Cyrl-CS"/>
        </w:rPr>
        <w:t xml:space="preserve">у колони </w:t>
      </w:r>
      <w:r>
        <w:rPr>
          <w:rFonts w:ascii="Cambria" w:hAnsi="Cambria"/>
          <w:szCs w:val="24"/>
          <w:lang w:val="sr-Cyrl-CS"/>
        </w:rPr>
        <w:t>6</w:t>
      </w:r>
      <w:r w:rsidRPr="004E6110">
        <w:rPr>
          <w:rFonts w:ascii="Cambria" w:hAnsi="Cambria"/>
          <w:szCs w:val="24"/>
          <w:lang w:val="sr-Cyrl-CS"/>
        </w:rPr>
        <w:t>. уписати колико износи јединична цена, за сваки тражени предмет јавне набавке</w:t>
      </w:r>
      <w:r>
        <w:rPr>
          <w:rFonts w:ascii="Cambria" w:hAnsi="Cambria"/>
          <w:szCs w:val="24"/>
          <w:lang w:val="sr-Cyrl-CS"/>
        </w:rPr>
        <w:t xml:space="preserve"> са ПДВ-ом</w:t>
      </w:r>
      <w:r w:rsidRPr="004E6110">
        <w:rPr>
          <w:rFonts w:ascii="Cambria" w:hAnsi="Cambria"/>
          <w:szCs w:val="24"/>
          <w:lang w:val="sr-Cyrl-CS"/>
        </w:rPr>
        <w:t>;</w:t>
      </w:r>
    </w:p>
    <w:p w:rsidR="004E6110" w:rsidRDefault="004E6110" w:rsidP="004E6110">
      <w:pPr>
        <w:pStyle w:val="ListParagraph"/>
        <w:numPr>
          <w:ilvl w:val="0"/>
          <w:numId w:val="3"/>
        </w:numPr>
        <w:spacing w:line="234" w:lineRule="auto"/>
        <w:jc w:val="both"/>
        <w:rPr>
          <w:rFonts w:ascii="Cambria" w:hAnsi="Cambria"/>
          <w:szCs w:val="24"/>
          <w:lang w:val="sr-Cyrl-CS"/>
        </w:rPr>
      </w:pPr>
      <w:r w:rsidRPr="004E6110">
        <w:rPr>
          <w:rFonts w:ascii="Cambria" w:hAnsi="Cambria"/>
          <w:szCs w:val="24"/>
          <w:lang w:val="sr-Cyrl-CS"/>
        </w:rPr>
        <w:t xml:space="preserve">у колони </w:t>
      </w:r>
      <w:r>
        <w:rPr>
          <w:rFonts w:ascii="Cambria" w:hAnsi="Cambria"/>
          <w:szCs w:val="24"/>
          <w:lang w:val="sr-Cyrl-CS"/>
        </w:rPr>
        <w:t>7</w:t>
      </w:r>
      <w:r w:rsidRPr="004E6110">
        <w:rPr>
          <w:rFonts w:ascii="Cambria" w:hAnsi="Cambria"/>
          <w:szCs w:val="24"/>
          <w:lang w:val="sr-Cyrl-CS"/>
        </w:rPr>
        <w:t>. уписати укупну цену за сваки тражени предмет јавне набавке и то тако што ће помножити јединичну цену (наведену у колони 5.) са траженим количинама (које су наведене у колони 4.)</w:t>
      </w:r>
      <w:r>
        <w:rPr>
          <w:rFonts w:ascii="Cambria" w:hAnsi="Cambria"/>
          <w:szCs w:val="24"/>
          <w:lang w:val="sr-Cyrl-CS"/>
        </w:rPr>
        <w:t>без ПДВ-а</w:t>
      </w:r>
      <w:r w:rsidRPr="004E6110">
        <w:rPr>
          <w:rFonts w:ascii="Cambria" w:hAnsi="Cambria"/>
          <w:szCs w:val="24"/>
          <w:lang w:val="sr-Cyrl-CS"/>
        </w:rPr>
        <w:t>;</w:t>
      </w:r>
    </w:p>
    <w:p w:rsidR="004E6110" w:rsidRPr="004E6110" w:rsidRDefault="004E6110" w:rsidP="004E6110">
      <w:pPr>
        <w:pStyle w:val="ListParagraph"/>
        <w:numPr>
          <w:ilvl w:val="0"/>
          <w:numId w:val="3"/>
        </w:numPr>
        <w:spacing w:line="234" w:lineRule="auto"/>
        <w:jc w:val="both"/>
        <w:rPr>
          <w:rFonts w:ascii="Cambria" w:hAnsi="Cambria"/>
          <w:szCs w:val="24"/>
          <w:lang w:val="sr-Cyrl-CS"/>
        </w:rPr>
      </w:pPr>
      <w:r w:rsidRPr="004E6110">
        <w:rPr>
          <w:rFonts w:ascii="Cambria" w:hAnsi="Cambria"/>
          <w:szCs w:val="24"/>
          <w:lang w:val="sr-Cyrl-CS"/>
        </w:rPr>
        <w:t xml:space="preserve">у колони </w:t>
      </w:r>
      <w:r>
        <w:rPr>
          <w:rFonts w:ascii="Cambria" w:hAnsi="Cambria"/>
          <w:szCs w:val="24"/>
          <w:lang w:val="sr-Cyrl-CS"/>
        </w:rPr>
        <w:t>8</w:t>
      </w:r>
      <w:r w:rsidRPr="004E6110">
        <w:rPr>
          <w:rFonts w:ascii="Cambria" w:hAnsi="Cambria"/>
          <w:szCs w:val="24"/>
          <w:lang w:val="sr-Cyrl-CS"/>
        </w:rPr>
        <w:t xml:space="preserve">. уписати укупну цену за сваки тражени предмет јавне набавке и то тако што ће помножити јединичну цену (наведену у колони </w:t>
      </w:r>
      <w:r>
        <w:rPr>
          <w:rFonts w:ascii="Cambria" w:hAnsi="Cambria"/>
          <w:szCs w:val="24"/>
          <w:lang w:val="sr-Cyrl-CS"/>
        </w:rPr>
        <w:t>6</w:t>
      </w:r>
      <w:r w:rsidRPr="004E6110">
        <w:rPr>
          <w:rFonts w:ascii="Cambria" w:hAnsi="Cambria"/>
          <w:szCs w:val="24"/>
          <w:lang w:val="sr-Cyrl-CS"/>
        </w:rPr>
        <w:t>.) са траженим количинама (које су наведене у колони 4.)</w:t>
      </w:r>
      <w:r>
        <w:rPr>
          <w:rFonts w:ascii="Cambria" w:hAnsi="Cambria"/>
          <w:szCs w:val="24"/>
          <w:lang w:val="sr-Cyrl-CS"/>
        </w:rPr>
        <w:t>са ПДВ-ом</w:t>
      </w:r>
      <w:r w:rsidRPr="004E6110">
        <w:rPr>
          <w:rFonts w:ascii="Cambria" w:hAnsi="Cambria"/>
          <w:szCs w:val="24"/>
          <w:lang w:val="sr-Cyrl-CS"/>
        </w:rPr>
        <w:t>;</w:t>
      </w:r>
    </w:p>
    <w:p w:rsidR="00465C72" w:rsidRPr="004E6110" w:rsidRDefault="004E6110" w:rsidP="004E6110">
      <w:pPr>
        <w:pStyle w:val="ListParagraph"/>
        <w:numPr>
          <w:ilvl w:val="0"/>
          <w:numId w:val="3"/>
        </w:numPr>
        <w:spacing w:line="234" w:lineRule="auto"/>
        <w:jc w:val="both"/>
        <w:rPr>
          <w:rFonts w:ascii="Cambria" w:hAnsi="Cambria"/>
          <w:szCs w:val="24"/>
          <w:lang w:val="sr-Cyrl-CS"/>
        </w:rPr>
      </w:pPr>
      <w:r w:rsidRPr="004E6110">
        <w:rPr>
          <w:rFonts w:ascii="Cambria" w:hAnsi="Cambria"/>
          <w:szCs w:val="24"/>
          <w:lang w:val="sr-Cyrl-CS"/>
        </w:rPr>
        <w:t xml:space="preserve"> На крају уписати укупну цену предмета набавке</w:t>
      </w:r>
      <w:r>
        <w:rPr>
          <w:rFonts w:ascii="Cambria" w:hAnsi="Cambria"/>
          <w:szCs w:val="24"/>
          <w:lang w:val="sr-Cyrl-CS"/>
        </w:rPr>
        <w:t xml:space="preserve"> без ПДВ-а и укупну вредност са ПДВ-ом</w:t>
      </w:r>
    </w:p>
    <w:sectPr w:rsidR="00465C72" w:rsidRPr="004E6110" w:rsidSect="00465C7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59"/>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1CD6DAF"/>
    <w:multiLevelType w:val="hybridMultilevel"/>
    <w:tmpl w:val="5E5EDA70"/>
    <w:lvl w:ilvl="0" w:tplc="0409000B">
      <w:start w:val="1"/>
      <w:numFmt w:val="bullet"/>
      <w:lvlText w:val=""/>
      <w:lvlJc w:val="left"/>
      <w:pPr>
        <w:ind w:left="701" w:hanging="360"/>
      </w:pPr>
      <w:rPr>
        <w:rFonts w:ascii="Wingdings" w:hAnsi="Wingdings"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465C72"/>
    <w:rsid w:val="00002844"/>
    <w:rsid w:val="00132BE4"/>
    <w:rsid w:val="00465C72"/>
    <w:rsid w:val="004E6110"/>
    <w:rsid w:val="0067119D"/>
    <w:rsid w:val="00790DA5"/>
    <w:rsid w:val="007B78AD"/>
    <w:rsid w:val="00897AA0"/>
    <w:rsid w:val="008C226E"/>
    <w:rsid w:val="00D1515F"/>
    <w:rsid w:val="00D9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2"/>
    <w:basedOn w:val="Normal"/>
    <w:link w:val="ListParagraphChar"/>
    <w:qFormat/>
    <w:rsid w:val="004E6110"/>
    <w:pPr>
      <w:spacing w:after="0" w:line="240" w:lineRule="auto"/>
      <w:ind w:left="720"/>
    </w:pPr>
    <w:rPr>
      <w:rFonts w:ascii="Arial Narrow" w:eastAsia="Times New Roman" w:hAnsi="Arial Narrow" w:cs="Times New Roman"/>
      <w:sz w:val="24"/>
      <w:szCs w:val="20"/>
    </w:rPr>
  </w:style>
  <w:style w:type="character" w:customStyle="1" w:styleId="ListParagraphChar">
    <w:name w:val="List Paragraph Char"/>
    <w:aliases w:val="Liste 1 Char,List Paragraph2 Char"/>
    <w:link w:val="ListParagraph"/>
    <w:locked/>
    <w:rsid w:val="004E6110"/>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dc:creator>
  <cp:lastModifiedBy>Ratka</cp:lastModifiedBy>
  <cp:revision>3</cp:revision>
  <dcterms:created xsi:type="dcterms:W3CDTF">2020-09-14T12:14:00Z</dcterms:created>
  <dcterms:modified xsi:type="dcterms:W3CDTF">2020-09-18T11:00:00Z</dcterms:modified>
</cp:coreProperties>
</file>